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59" w:lineRule="auto"/>
        <w:jc w:val="center"/>
      </w:pPr>
      <w:r>
        <w:rPr>
          <w:rFonts w:ascii="Calibri" w:hAnsi="Calibri" w:eastAsia="Calibri"/>
          <w:b/>
          <w:color w:val="0B1F33"/>
          <w:sz w:val="24"/>
        </w:rPr>
        <w:t>DECTYR SAS</w:t>
      </w:r>
    </w:p>
    <w:p>
      <w:pPr>
        <w:spacing w:after="40" w:before="0" w:line="259" w:lineRule="auto"/>
        <w:jc w:val="center"/>
      </w:pPr>
      <w:r>
        <w:rPr>
          <w:rFonts w:ascii="Calibri" w:hAnsi="Calibri" w:eastAsia="Calibri"/>
          <w:b w:val="0"/>
          <w:sz w:val="22"/>
        </w:rPr>
        <w:t>Modèle de dossier de consultation</w:t>
      </w:r>
    </w:p>
    <w:p>
      <w:pPr>
        <w:spacing w:after="120" w:before="360" w:line="259" w:lineRule="auto"/>
        <w:jc w:val="center"/>
      </w:pPr>
      <w:r>
        <w:rPr>
          <w:rFonts w:ascii="Calibri" w:hAnsi="Calibri" w:eastAsia="Calibri"/>
          <w:b/>
          <w:color w:val="0B1F33"/>
          <w:sz w:val="44"/>
        </w:rPr>
        <w:t>Cahier des clauses techniques particulières</w:t>
      </w:r>
    </w:p>
    <w:p>
      <w:pPr>
        <w:spacing w:after="160" w:before="0" w:line="259" w:lineRule="auto"/>
        <w:jc w:val="center"/>
      </w:pPr>
      <w:r>
        <w:rPr>
          <w:rFonts w:ascii="Calibri" w:hAnsi="Calibri" w:eastAsia="Calibri"/>
          <w:b w:val="0"/>
          <w:sz w:val="28"/>
        </w:rPr>
        <w:t>Fourniture, déploiement et maintenance d’une flotte de détecteurs passifs de drones</w:t>
        <w:br/>
        <w:t>et d’un hyperviseur de supervision</w:t>
      </w:r>
    </w:p>
    <w:p>
      <w:pPr>
        <w:spacing w:after="280" w:before="0" w:line="259" w:lineRule="auto"/>
        <w:jc w:val="center"/>
      </w:pPr>
      <w:r>
        <w:rPr>
          <w:rFonts w:ascii="Calibri" w:hAnsi="Calibri" w:eastAsia="Calibri"/>
          <w:b/>
          <w:color w:val="0B1F33"/>
          <w:sz w:val="24"/>
        </w:rPr>
        <w:t>Solution de référence : DECTYR RX-5 (et DECTYR RX-15 en option) et DECTYR Hub, ou équivalent</w:t>
      </w:r>
    </w:p>
    <w:tbl>
      <w:tblPr>
        <w:tblStyle w:val="TableGrid"/>
        <w:tblW w:type="auto" w:w="0"/>
        <w:tblLayout w:type="autofit"/>
        <w:tblLook w:firstColumn="1" w:firstRow="1" w:lastColumn="0" w:lastRow="0" w:noHBand="0" w:noVBand="1" w:val="04A0"/>
      </w:tblPr>
      <w:tblGrid>
        <w:gridCol w:w="4933"/>
        <w:gridCol w:w="4933"/>
      </w:tblGrid>
      <w:tr>
        <w:tc>
          <w:tcPr>
            <w:tcW w:type="dxa" w:w="3685"/>
            <w:shd w:fill="1F5C99" w:val="clear"/>
          </w:tcPr>
          <w:p>
            <w:r/>
            <w:r>
              <w:rPr>
                <w:rFonts w:ascii="Calibri" w:hAnsi="Calibri" w:eastAsia="Calibri"/>
                <w:b/>
                <w:color w:val="FFFFFF"/>
                <w:sz w:val="18"/>
              </w:rPr>
              <w:t>Rubrique</w:t>
            </w:r>
          </w:p>
        </w:tc>
        <w:tc>
          <w:tcPr>
            <w:tcW w:type="dxa" w:w="5953"/>
            <w:shd w:fill="1F5C99" w:val="clear"/>
          </w:tcPr>
          <w:p>
            <w:r/>
            <w:r>
              <w:rPr>
                <w:rFonts w:ascii="Calibri" w:hAnsi="Calibri" w:eastAsia="Calibri"/>
                <w:b/>
                <w:color w:val="FFFFFF"/>
                <w:sz w:val="18"/>
              </w:rPr>
              <w:t>À compléter par l’acheteur</w:t>
            </w:r>
          </w:p>
        </w:tc>
      </w:tr>
      <w:tr>
        <w:tc>
          <w:tcPr>
            <w:tcW w:type="dxa" w:w="3685"/>
          </w:tcPr>
          <w:p>
            <w:r/>
            <w:r>
              <w:rPr>
                <w:rFonts w:ascii="Calibri" w:hAnsi="Calibri" w:eastAsia="Calibri"/>
                <w:b w:val="0"/>
                <w:sz w:val="18"/>
              </w:rPr>
              <w:t>Pouvoir adjudicateur ou acheteur privé</w:t>
            </w:r>
          </w:p>
        </w:tc>
        <w:tc>
          <w:tcPr>
            <w:tcW w:type="dxa" w:w="5953"/>
          </w:tcPr>
          <w:p>
            <w:r/>
            <w:r>
              <w:rPr>
                <w:rFonts w:ascii="Calibri" w:hAnsi="Calibri" w:eastAsia="Calibri"/>
                <w:b w:val="0"/>
                <w:sz w:val="18"/>
              </w:rPr>
              <w:t>[À COMPLÉTER]</w:t>
            </w:r>
          </w:p>
        </w:tc>
      </w:tr>
      <w:tr>
        <w:tc>
          <w:tcPr>
            <w:tcW w:type="dxa" w:w="3685"/>
            <w:shd w:fill="F4F7FB" w:val="clear"/>
          </w:tcPr>
          <w:p>
            <w:r/>
            <w:r>
              <w:rPr>
                <w:rFonts w:ascii="Calibri" w:hAnsi="Calibri" w:eastAsia="Calibri"/>
                <w:b w:val="0"/>
                <w:sz w:val="18"/>
              </w:rPr>
              <w:t>Objet court</w:t>
            </w:r>
          </w:p>
        </w:tc>
        <w:tc>
          <w:tcPr>
            <w:tcW w:type="dxa" w:w="5953"/>
            <w:shd w:fill="F4F7FB" w:val="clear"/>
          </w:tcPr>
          <w:p>
            <w:r/>
            <w:r>
              <w:rPr>
                <w:rFonts w:ascii="Calibri" w:hAnsi="Calibri" w:eastAsia="Calibri"/>
                <w:b w:val="0"/>
                <w:sz w:val="18"/>
              </w:rPr>
              <w:t>Détection passive de drones et hypervision</w:t>
            </w:r>
          </w:p>
        </w:tc>
      </w:tr>
      <w:tr>
        <w:tc>
          <w:tcPr>
            <w:tcW w:type="dxa" w:w="3685"/>
          </w:tcPr>
          <w:p>
            <w:r/>
            <w:r>
              <w:rPr>
                <w:rFonts w:ascii="Calibri" w:hAnsi="Calibri" w:eastAsia="Calibri"/>
                <w:b w:val="0"/>
                <w:sz w:val="18"/>
              </w:rPr>
              <w:t>Lieu d’exécution</w:t>
            </w:r>
          </w:p>
        </w:tc>
        <w:tc>
          <w:tcPr>
            <w:tcW w:type="dxa" w:w="5953"/>
          </w:tcPr>
          <w:p>
            <w:r/>
            <w:r>
              <w:rPr>
                <w:rFonts w:ascii="Calibri" w:hAnsi="Calibri" w:eastAsia="Calibri"/>
                <w:b w:val="0"/>
                <w:sz w:val="18"/>
              </w:rPr>
              <w:t>[À COMPLÉTER — sites]</w:t>
            </w:r>
          </w:p>
        </w:tc>
      </w:tr>
      <w:tr>
        <w:tc>
          <w:tcPr>
            <w:tcW w:type="dxa" w:w="3685"/>
            <w:shd w:fill="F4F7FB" w:val="clear"/>
          </w:tcPr>
          <w:p>
            <w:r/>
            <w:r>
              <w:rPr>
                <w:rFonts w:ascii="Calibri" w:hAnsi="Calibri" w:eastAsia="Calibri"/>
                <w:b w:val="0"/>
                <w:sz w:val="18"/>
              </w:rPr>
              <w:t>Nombre de capteurs, tranche ferme</w:t>
            </w:r>
          </w:p>
        </w:tc>
        <w:tc>
          <w:tcPr>
            <w:tcW w:type="dxa" w:w="5953"/>
            <w:shd w:fill="F4F7FB" w:val="clear"/>
          </w:tcPr>
          <w:p>
            <w:r/>
            <w:r>
              <w:rPr>
                <w:rFonts w:ascii="Calibri" w:hAnsi="Calibri" w:eastAsia="Calibri"/>
                <w:b w:val="0"/>
                <w:sz w:val="18"/>
              </w:rPr>
              <w:t>[N]</w:t>
            </w:r>
          </w:p>
        </w:tc>
      </w:tr>
      <w:tr>
        <w:tc>
          <w:tcPr>
            <w:tcW w:type="dxa" w:w="3685"/>
          </w:tcPr>
          <w:p>
            <w:r/>
            <w:r>
              <w:rPr>
                <w:rFonts w:ascii="Calibri" w:hAnsi="Calibri" w:eastAsia="Calibri"/>
                <w:b w:val="0"/>
                <w:sz w:val="18"/>
              </w:rPr>
              <w:t>Nombre de capteurs, tranche optionnelle</w:t>
            </w:r>
          </w:p>
        </w:tc>
        <w:tc>
          <w:tcPr>
            <w:tcW w:type="dxa" w:w="5953"/>
          </w:tcPr>
          <w:p>
            <w:r/>
            <w:r>
              <w:rPr>
                <w:rFonts w:ascii="Calibri" w:hAnsi="Calibri" w:eastAsia="Calibri"/>
                <w:b w:val="0"/>
                <w:sz w:val="18"/>
              </w:rPr>
              <w:t>[N’]</w:t>
            </w:r>
          </w:p>
        </w:tc>
      </w:tr>
      <w:tr>
        <w:tc>
          <w:tcPr>
            <w:tcW w:type="dxa" w:w="3685"/>
            <w:shd w:fill="F4F7FB" w:val="clear"/>
          </w:tcPr>
          <w:p>
            <w:r/>
            <w:r>
              <w:rPr>
                <w:rFonts w:ascii="Calibri" w:hAnsi="Calibri" w:eastAsia="Calibri"/>
                <w:b w:val="0"/>
                <w:sz w:val="18"/>
              </w:rPr>
              <w:t>Nombre de sites</w:t>
            </w:r>
          </w:p>
        </w:tc>
        <w:tc>
          <w:tcPr>
            <w:tcW w:type="dxa" w:w="5953"/>
            <w:shd w:fill="F4F7FB" w:val="clear"/>
          </w:tcPr>
          <w:p>
            <w:r/>
            <w:r>
              <w:rPr>
                <w:rFonts w:ascii="Calibri" w:hAnsi="Calibri" w:eastAsia="Calibri"/>
                <w:b w:val="0"/>
                <w:sz w:val="18"/>
              </w:rPr>
              <w:t>[S]</w:t>
            </w:r>
          </w:p>
        </w:tc>
      </w:tr>
      <w:tr>
        <w:tc>
          <w:tcPr>
            <w:tcW w:type="dxa" w:w="3685"/>
          </w:tcPr>
          <w:p>
            <w:r/>
            <w:r>
              <w:rPr>
                <w:rFonts w:ascii="Calibri" w:hAnsi="Calibri" w:eastAsia="Calibri"/>
                <w:b w:val="0"/>
                <w:sz w:val="18"/>
              </w:rPr>
              <w:t>Durée du marché, reconductions</w:t>
            </w:r>
          </w:p>
        </w:tc>
        <w:tc>
          <w:tcPr>
            <w:tcW w:type="dxa" w:w="5953"/>
          </w:tcPr>
          <w:p>
            <w:r/>
            <w:r>
              <w:rPr>
                <w:rFonts w:ascii="Calibri" w:hAnsi="Calibri" w:eastAsia="Calibri"/>
                <w:b w:val="0"/>
                <w:sz w:val="18"/>
              </w:rPr>
              <w:t>[À COMPLÉTER]</w:t>
            </w:r>
          </w:p>
        </w:tc>
      </w:tr>
      <w:tr>
        <w:tc>
          <w:tcPr>
            <w:tcW w:type="dxa" w:w="3685"/>
            <w:shd w:fill="F4F7FB" w:val="clear"/>
          </w:tcPr>
          <w:p>
            <w:r/>
            <w:r>
              <w:rPr>
                <w:rFonts w:ascii="Calibri" w:hAnsi="Calibri" w:eastAsia="Calibri"/>
                <w:b w:val="0"/>
                <w:sz w:val="18"/>
              </w:rPr>
              <w:t>Procédure envisagée</w:t>
            </w:r>
          </w:p>
        </w:tc>
        <w:tc>
          <w:tcPr>
            <w:tcW w:type="dxa" w:w="5953"/>
            <w:shd w:fill="F4F7FB" w:val="clear"/>
          </w:tcPr>
          <w:p>
            <w:r/>
            <w:r>
              <w:rPr>
                <w:rFonts w:ascii="Calibri" w:hAnsi="Calibri" w:eastAsia="Calibri"/>
                <w:b w:val="0"/>
                <w:sz w:val="18"/>
              </w:rPr>
              <w:t>[MAPA / appel d’offres / contrat privé]</w:t>
            </w:r>
          </w:p>
        </w:tc>
      </w:tr>
      <w:tr>
        <w:tc>
          <w:tcPr>
            <w:tcW w:type="dxa" w:w="3685"/>
          </w:tcPr>
          <w:p>
            <w:r/>
            <w:r>
              <w:rPr>
                <w:rFonts w:ascii="Calibri" w:hAnsi="Calibri" w:eastAsia="Calibri"/>
                <w:b w:val="0"/>
                <w:sz w:val="18"/>
              </w:rPr>
              <w:t>Date limite de remise des offres</w:t>
            </w:r>
          </w:p>
        </w:tc>
        <w:tc>
          <w:tcPr>
            <w:tcW w:type="dxa" w:w="5953"/>
          </w:tcPr>
          <w:p>
            <w:r/>
            <w:r>
              <w:rPr>
                <w:rFonts w:ascii="Calibri" w:hAnsi="Calibri" w:eastAsia="Calibri"/>
                <w:b w:val="0"/>
                <w:sz w:val="18"/>
              </w:rPr>
              <w:t>[À COMPLÉTER]</w:t>
            </w:r>
          </w:p>
        </w:tc>
      </w:tr>
      <w:tr>
        <w:tc>
          <w:tcPr>
            <w:tcW w:type="dxa" w:w="3685"/>
            <w:shd w:fill="F4F7FB" w:val="clear"/>
          </w:tcPr>
          <w:p>
            <w:r/>
            <w:r>
              <w:rPr>
                <w:rFonts w:ascii="Calibri" w:hAnsi="Calibri" w:eastAsia="Calibri"/>
                <w:b w:val="0"/>
                <w:sz w:val="18"/>
              </w:rPr>
              <w:t>Contact consultations</w:t>
            </w:r>
          </w:p>
        </w:tc>
        <w:tc>
          <w:tcPr>
            <w:tcW w:type="dxa" w:w="5953"/>
            <w:shd w:fill="F4F7FB" w:val="clear"/>
          </w:tcPr>
          <w:p>
            <w:r/>
            <w:r>
              <w:rPr>
                <w:rFonts w:ascii="Calibri" w:hAnsi="Calibri" w:eastAsia="Calibri"/>
                <w:b w:val="0"/>
                <w:sz w:val="18"/>
              </w:rPr>
              <w:t>[À COMPLÉTER]</w:t>
            </w:r>
          </w:p>
        </w:tc>
      </w:tr>
    </w:tbl>
    <w:p/>
    <w:p>
      <w:pPr>
        <w:spacing w:after="160" w:before="0" w:line="259" w:lineRule="auto"/>
        <w:jc w:val="center"/>
      </w:pPr>
      <w:r>
        <w:rPr>
          <w:rFonts w:ascii="Calibri" w:hAnsi="Calibri" w:eastAsia="Calibri"/>
          <w:b w:val="0"/>
          <w:sz w:val="20"/>
        </w:rPr>
        <w:t>Octobre 2026 — modèle publié par DECTYR pour aider à lancer la consultation. Ce n’est ni un devis, ni un acte d’engagement, ni un conseil juridique.</w:t>
      </w:r>
    </w:p>
    <w:p>
      <w:pPr>
        <w:pStyle w:val="Heading1"/>
        <w:spacing w:before="320" w:after="120"/>
      </w:pPr>
      <w:r>
        <w:rPr>
          <w:rFonts w:ascii="Calibri" w:hAnsi="Calibri" w:eastAsia="Calibri"/>
          <w:b/>
          <w:color w:val="0B1F33"/>
          <w:sz w:val="32"/>
        </w:rPr>
        <w:t>0. Comment utiliser ce modèle</w:t>
      </w:r>
    </w:p>
    <w:p>
      <w:pPr>
        <w:spacing w:after="160" w:before="0" w:line="259" w:lineRule="auto"/>
      </w:pPr>
      <w:r>
        <w:rPr>
          <w:rFonts w:ascii="Calibri" w:hAnsi="Calibri" w:eastAsia="Calibri"/>
          <w:b w:val="0"/>
          <w:sz w:val="22"/>
        </w:rPr>
        <w:t>Ce dossier sert à passer un marché de fournitures et de services : des détecteurs, leur hyperviseur, la mise en service, la formation et la maintenance. Les champs entre crochets sont à remplir. Les prix ne figurent nulle part : ils sont proposés par les candidats dans le bordereau, pas imposés par le cahier des charges.</w:t>
      </w:r>
    </w:p>
    <w:p>
      <w:pPr>
        <w:pStyle w:val="Heading2"/>
        <w:spacing w:before="240" w:after="120"/>
      </w:pPr>
      <w:r>
        <w:rPr>
          <w:rFonts w:ascii="Calibri" w:hAnsi="Calibri" w:eastAsia="Calibri"/>
          <w:b/>
          <w:color w:val="0B1F33"/>
          <w:sz w:val="26"/>
        </w:rPr>
        <w:t>0.1 Acheteur public</w:t>
      </w:r>
    </w:p>
    <w:p>
      <w:pPr>
        <w:pStyle w:val="ListBullet"/>
        <w:spacing w:after="60"/>
      </w:pPr>
      <w:r>
        <w:rPr>
          <w:rFonts w:ascii="Calibri" w:hAnsi="Calibri" w:eastAsia="Calibri"/>
          <w:b w:val="0"/>
          <w:sz w:val="22"/>
        </w:rPr>
        <w:t>Le code de la commande publique s’applique. L’article R.2111-7 interdit de verrouiller le marché sur une marque, sauf si l’objet le justifie, et la mention doit alors être suivie des mots « ou équivalent ». Ces mots sont déjà dans le présent CCTP. Ne les retirez pas.</w:t>
      </w:r>
    </w:p>
    <w:p>
      <w:pPr>
        <w:pStyle w:val="ListBullet"/>
        <w:spacing w:after="60"/>
      </w:pPr>
      <w:r>
        <w:rPr>
          <w:rFonts w:ascii="Calibri" w:hAnsi="Calibri" w:eastAsia="Calibri"/>
          <w:b w:val="0"/>
          <w:sz w:val="22"/>
        </w:rPr>
        <w:t>Une flotte déjà en service, un protocole à conserver ou une intégration déjà réalisée peuvent justifier de citer DECTYR RX-5 et DECTYR Hub comme solution de référence. Ils ne permettent pas d’écarter une offre qui démontre une équivalence sur chaque exigence impérative.</w:t>
      </w:r>
    </w:p>
    <w:p>
      <w:pPr>
        <w:pStyle w:val="ListBullet"/>
        <w:spacing w:after="60"/>
      </w:pPr>
      <w:r>
        <w:rPr>
          <w:rFonts w:ascii="Calibri" w:hAnsi="Calibri" w:eastAsia="Calibri"/>
          <w:b w:val="0"/>
          <w:sz w:val="22"/>
        </w:rPr>
        <w:t>« Conçu ou fabriqué en France » n’est pas une condition d’admission. C’est une information demandée au soumissionnaire et, si l’acheteur le décide, un sous-critère de valeur technique.</w:t>
      </w:r>
    </w:p>
    <w:p>
      <w:pPr>
        <w:pStyle w:val="ListBullet"/>
        <w:spacing w:after="60"/>
      </w:pPr>
      <w:r>
        <w:rPr>
          <w:rFonts w:ascii="Calibri" w:hAnsi="Calibri" w:eastAsia="Calibri"/>
          <w:b w:val="0"/>
          <w:sz w:val="22"/>
        </w:rPr>
        <w:t>Les seuils cités au règlement de la consultation sont ceux connus en octobre 2026. L’acheteur les revérifie au moment de l’envoi de l’avis.</w:t>
      </w:r>
    </w:p>
    <w:p>
      <w:pPr>
        <w:pStyle w:val="ListBullet"/>
        <w:spacing w:after="60"/>
      </w:pPr>
      <w:r>
        <w:rPr>
          <w:rFonts w:ascii="Calibri" w:hAnsi="Calibri" w:eastAsia="Calibri"/>
          <w:b w:val="0"/>
          <w:sz w:val="22"/>
        </w:rPr>
        <w:t>Le présent document ne remplace pas le règlement de la consultation, l’acte d’engagement ni le CCAP. Il en fournit le squelette technique et les clauses que le CCAP doit reprendre.</w:t>
      </w:r>
    </w:p>
    <w:p>
      <w:pPr>
        <w:pStyle w:val="Heading2"/>
        <w:spacing w:before="240" w:after="120"/>
      </w:pPr>
      <w:r>
        <w:rPr>
          <w:rFonts w:ascii="Calibri" w:hAnsi="Calibri" w:eastAsia="Calibri"/>
          <w:b/>
          <w:color w:val="0B1F33"/>
          <w:sz w:val="26"/>
        </w:rPr>
        <w:t>0.2 Acheteur privé</w:t>
      </w:r>
    </w:p>
    <w:p>
      <w:pPr>
        <w:spacing w:after="160" w:before="0" w:line="259" w:lineRule="auto"/>
      </w:pPr>
      <w:r>
        <w:rPr>
          <w:rFonts w:ascii="Calibri" w:hAnsi="Calibri" w:eastAsia="Calibri"/>
          <w:b w:val="0"/>
          <w:sz w:val="22"/>
        </w:rPr>
        <w:t>Le code de la commande publique ne s’applique pas. L’acheteur peut exiger nommément DECTYR RX-5 et DECTYR Hub, supprimer la colonne d’équivalence, et négocier. Les exigences techniques, la recette, la protection des données et la réversibilité restent utiles telles quelles.</w:t>
      </w:r>
    </w:p>
    <w:p>
      <w:pPr>
        <w:pStyle w:val="Heading1"/>
        <w:spacing w:before="320" w:after="120"/>
      </w:pPr>
      <w:r>
        <w:rPr>
          <w:rFonts w:ascii="Calibri" w:hAnsi="Calibri" w:eastAsia="Calibri"/>
          <w:b/>
          <w:color w:val="0B1F33"/>
          <w:sz w:val="32"/>
        </w:rPr>
        <w:t>1. Règlement de la consultation — squelette</w:t>
      </w:r>
    </w:p>
    <w:p>
      <w:pPr>
        <w:spacing w:after="160" w:before="0" w:line="259" w:lineRule="auto"/>
      </w:pPr>
      <w:r>
        <w:rPr>
          <w:rFonts w:ascii="Calibri" w:hAnsi="Calibri" w:eastAsia="Calibri"/>
          <w:b w:val="0"/>
          <w:sz w:val="22"/>
        </w:rPr>
        <w:t>Cette partie est à reprendre dans le règlement de la consultation (marché public) ou dans la lettre de consultation (achat privé). Elle ne se substitue pas aux formulaires de l’acheteur.</w:t>
      </w:r>
    </w:p>
    <w:p>
      <w:pPr>
        <w:pStyle w:val="Heading2"/>
        <w:spacing w:before="240" w:after="120"/>
      </w:pPr>
      <w:r>
        <w:rPr>
          <w:rFonts w:ascii="Calibri" w:hAnsi="Calibri" w:eastAsia="Calibri"/>
          <w:b/>
          <w:color w:val="0B1F33"/>
          <w:sz w:val="26"/>
        </w:rPr>
        <w:t>1.1 Objet</w:t>
      </w:r>
    </w:p>
    <w:p>
      <w:pPr>
        <w:spacing w:after="160" w:before="0" w:line="259" w:lineRule="auto"/>
      </w:pPr>
      <w:r>
        <w:rPr>
          <w:rFonts w:ascii="Calibri" w:hAnsi="Calibri" w:eastAsia="Calibri"/>
          <w:b w:val="0"/>
          <w:sz w:val="22"/>
        </w:rPr>
        <w:t>Le marché a pour objet la fourniture, l’installation, la mise en service, la formation et la maintenance d’une flotte de détecteurs radiofréquence passifs de drones, supervisée par un hyperviseur. La solution de référence est le détecteur DECTYR RX-5 et le logiciel DECTYR Hub, ou équivalent au sens de l’article R.2111-7 du code de la commande publique.</w:t>
      </w:r>
    </w:p>
    <w:p>
      <w:pPr>
        <w:pStyle w:val="Heading2"/>
        <w:spacing w:before="240" w:after="120"/>
      </w:pPr>
      <w:r>
        <w:rPr>
          <w:rFonts w:ascii="Calibri" w:hAnsi="Calibri" w:eastAsia="Calibri"/>
          <w:b/>
          <w:color w:val="0B1F33"/>
          <w:sz w:val="26"/>
        </w:rPr>
        <w:t>1.2 Procédure selon le montant estimé, acheteur public</w:t>
      </w:r>
    </w:p>
    <w:p>
      <w:pPr>
        <w:spacing w:after="160" w:before="0" w:line="259" w:lineRule="auto"/>
      </w:pPr>
      <w:r>
        <w:rPr>
          <w:rFonts w:ascii="Calibri" w:hAnsi="Calibri" w:eastAsia="Calibri"/>
          <w:b w:val="0"/>
          <w:sz w:val="22"/>
        </w:rPr>
        <w:t>Montants hors taxes, fournitures et services, avis publié au Journal officiel du 13 janvier 2026 (NOR ECOM2600976V) et décret n° 2025-1386 du 29 décembre 2025. À revérifier avant publication.</w:t>
      </w:r>
    </w:p>
    <w:tbl>
      <w:tblPr>
        <w:tblStyle w:val="TableGrid"/>
        <w:tblW w:type="auto" w:w="0"/>
        <w:tblLayout w:type="autofit"/>
        <w:tblLook w:firstColumn="1" w:firstRow="1" w:lastColumn="0" w:lastRow="0" w:noHBand="0" w:noVBand="1" w:val="04A0"/>
      </w:tblPr>
      <w:tblGrid>
        <w:gridCol w:w="3289"/>
        <w:gridCol w:w="3289"/>
        <w:gridCol w:w="3289"/>
      </w:tblGrid>
      <w:tr>
        <w:tc>
          <w:tcPr>
            <w:tcW w:type="dxa" w:w="2948"/>
            <w:shd w:fill="1F5C99" w:val="clear"/>
          </w:tcPr>
          <w:p>
            <w:r/>
            <w:r>
              <w:rPr>
                <w:rFonts w:ascii="Calibri" w:hAnsi="Calibri" w:eastAsia="Calibri"/>
                <w:b/>
                <w:color w:val="FFFFFF"/>
                <w:sz w:val="18"/>
              </w:rPr>
              <w:t>Situation de l’acheteur</w:t>
            </w:r>
          </w:p>
        </w:tc>
        <w:tc>
          <w:tcPr>
            <w:tcW w:type="dxa" w:w="1928"/>
            <w:shd w:fill="1F5C99" w:val="clear"/>
          </w:tcPr>
          <w:p>
            <w:r/>
            <w:r>
              <w:rPr>
                <w:rFonts w:ascii="Calibri" w:hAnsi="Calibri" w:eastAsia="Calibri"/>
                <w:b/>
                <w:color w:val="FFFFFF"/>
                <w:sz w:val="18"/>
              </w:rPr>
              <w:t>Seuil</w:t>
            </w:r>
          </w:p>
        </w:tc>
        <w:tc>
          <w:tcPr>
            <w:tcW w:type="dxa" w:w="4762"/>
            <w:shd w:fill="1F5C99" w:val="clear"/>
          </w:tcPr>
          <w:p>
            <w:r/>
            <w:r>
              <w:rPr>
                <w:rFonts w:ascii="Calibri" w:hAnsi="Calibri" w:eastAsia="Calibri"/>
                <w:b/>
                <w:color w:val="FFFFFF"/>
                <w:sz w:val="18"/>
              </w:rPr>
              <w:t>Conséquence usuelle</w:t>
            </w:r>
          </w:p>
        </w:tc>
      </w:tr>
      <w:tr>
        <w:tc>
          <w:tcPr>
            <w:tcW w:type="dxa" w:w="2948"/>
          </w:tcPr>
          <w:p>
            <w:r/>
            <w:r>
              <w:rPr>
                <w:rFonts w:ascii="Calibri" w:hAnsi="Calibri" w:eastAsia="Calibri"/>
                <w:b w:val="0"/>
                <w:sz w:val="18"/>
              </w:rPr>
              <w:t>Tout acheteur, fournitures et services</w:t>
            </w:r>
          </w:p>
        </w:tc>
        <w:tc>
          <w:tcPr>
            <w:tcW w:type="dxa" w:w="1928"/>
          </w:tcPr>
          <w:p>
            <w:r/>
            <w:r>
              <w:rPr>
                <w:rFonts w:ascii="Calibri" w:hAnsi="Calibri" w:eastAsia="Calibri"/>
                <w:b w:val="0"/>
                <w:sz w:val="18"/>
              </w:rPr>
              <w:t>Inférieur à 60 000 € HT</w:t>
            </w:r>
          </w:p>
        </w:tc>
        <w:tc>
          <w:tcPr>
            <w:tcW w:type="dxa" w:w="4762"/>
          </w:tcPr>
          <w:p>
            <w:r/>
            <w:r>
              <w:rPr>
                <w:rFonts w:ascii="Calibri" w:hAnsi="Calibri" w:eastAsia="Calibri"/>
                <w:b w:val="0"/>
                <w:sz w:val="18"/>
              </w:rPr>
              <w:t>Dispense possible de publicité et de mise en concurrence (R.2122-8), depuis le 1er avril 2026. Une consultation écrite reste une bonne pratique.</w:t>
            </w:r>
          </w:p>
        </w:tc>
      </w:tr>
      <w:tr>
        <w:tc>
          <w:tcPr>
            <w:tcW w:type="dxa" w:w="2948"/>
            <w:shd w:fill="F4F7FB" w:val="clear"/>
          </w:tcPr>
          <w:p>
            <w:r/>
            <w:r>
              <w:rPr>
                <w:rFonts w:ascii="Calibri" w:hAnsi="Calibri" w:eastAsia="Calibri"/>
                <w:b w:val="0"/>
                <w:sz w:val="18"/>
              </w:rPr>
              <w:t>Tout acheteur</w:t>
            </w:r>
          </w:p>
        </w:tc>
        <w:tc>
          <w:tcPr>
            <w:tcW w:type="dxa" w:w="1928"/>
            <w:shd w:fill="F4F7FB" w:val="clear"/>
          </w:tcPr>
          <w:p>
            <w:r/>
            <w:r>
              <w:rPr>
                <w:rFonts w:ascii="Calibri" w:hAnsi="Calibri" w:eastAsia="Calibri"/>
                <w:b w:val="0"/>
                <w:sz w:val="18"/>
              </w:rPr>
              <w:t>Dès 90 000 € HT</w:t>
            </w:r>
          </w:p>
        </w:tc>
        <w:tc>
          <w:tcPr>
            <w:tcW w:type="dxa" w:w="4762"/>
            <w:shd w:fill="F4F7FB" w:val="clear"/>
          </w:tcPr>
          <w:p>
            <w:r/>
            <w:r>
              <w:rPr>
                <w:rFonts w:ascii="Calibri" w:hAnsi="Calibri" w:eastAsia="Calibri"/>
                <w:b w:val="0"/>
                <w:sz w:val="18"/>
              </w:rPr>
              <w:t>Publicité au BOAMP ou dans un support habilité à recevoir des annonces légales, en procédure adaptée.</w:t>
            </w:r>
          </w:p>
        </w:tc>
      </w:tr>
      <w:tr>
        <w:tc>
          <w:tcPr>
            <w:tcW w:type="dxa" w:w="2948"/>
          </w:tcPr>
          <w:p>
            <w:r/>
            <w:r>
              <w:rPr>
                <w:rFonts w:ascii="Calibri" w:hAnsi="Calibri" w:eastAsia="Calibri"/>
                <w:b w:val="0"/>
                <w:sz w:val="18"/>
              </w:rPr>
              <w:t>Autorité publique centrale (État et liste de l’annexe 2 du code)</w:t>
            </w:r>
          </w:p>
        </w:tc>
        <w:tc>
          <w:tcPr>
            <w:tcW w:type="dxa" w:w="1928"/>
          </w:tcPr>
          <w:p>
            <w:r/>
            <w:r>
              <w:rPr>
                <w:rFonts w:ascii="Calibri" w:hAnsi="Calibri" w:eastAsia="Calibri"/>
                <w:b w:val="0"/>
                <w:sz w:val="18"/>
              </w:rPr>
              <w:t>Dès 140 000 € HT</w:t>
            </w:r>
          </w:p>
        </w:tc>
        <w:tc>
          <w:tcPr>
            <w:tcW w:type="dxa" w:w="4762"/>
          </w:tcPr>
          <w:p>
            <w:r/>
            <w:r>
              <w:rPr>
                <w:rFonts w:ascii="Calibri" w:hAnsi="Calibri" w:eastAsia="Calibri"/>
                <w:b w:val="0"/>
                <w:sz w:val="18"/>
              </w:rPr>
              <w:t>Procédure formalisée. L’appel d’offres ouvert est la procédure de droit commun.</w:t>
            </w:r>
          </w:p>
        </w:tc>
      </w:tr>
      <w:tr>
        <w:tc>
          <w:tcPr>
            <w:tcW w:type="dxa" w:w="2948"/>
            <w:shd w:fill="F4F7FB" w:val="clear"/>
          </w:tcPr>
          <w:p>
            <w:r/>
            <w:r>
              <w:rPr>
                <w:rFonts w:ascii="Calibri" w:hAnsi="Calibri" w:eastAsia="Calibri"/>
                <w:b w:val="0"/>
                <w:sz w:val="18"/>
              </w:rPr>
              <w:t>Autre pouvoir adjudicateur (collectivité, établissement local, hôpital, etc.)</w:t>
            </w:r>
          </w:p>
        </w:tc>
        <w:tc>
          <w:tcPr>
            <w:tcW w:type="dxa" w:w="1928"/>
            <w:shd w:fill="F4F7FB" w:val="clear"/>
          </w:tcPr>
          <w:p>
            <w:r/>
            <w:r>
              <w:rPr>
                <w:rFonts w:ascii="Calibri" w:hAnsi="Calibri" w:eastAsia="Calibri"/>
                <w:b w:val="0"/>
                <w:sz w:val="18"/>
              </w:rPr>
              <w:t>Dès 216 000 € HT</w:t>
            </w:r>
          </w:p>
        </w:tc>
        <w:tc>
          <w:tcPr>
            <w:tcW w:type="dxa" w:w="4762"/>
            <w:shd w:fill="F4F7FB" w:val="clear"/>
          </w:tcPr>
          <w:p>
            <w:r/>
            <w:r>
              <w:rPr>
                <w:rFonts w:ascii="Calibri" w:hAnsi="Calibri" w:eastAsia="Calibri"/>
                <w:b w:val="0"/>
                <w:sz w:val="18"/>
              </w:rPr>
              <w:t>Procédure formalisée.</w:t>
            </w:r>
          </w:p>
        </w:tc>
      </w:tr>
      <w:tr>
        <w:tc>
          <w:tcPr>
            <w:tcW w:type="dxa" w:w="2948"/>
          </w:tcPr>
          <w:p>
            <w:r/>
            <w:r>
              <w:rPr>
                <w:rFonts w:ascii="Calibri" w:hAnsi="Calibri" w:eastAsia="Calibri"/>
                <w:b w:val="0"/>
                <w:sz w:val="18"/>
              </w:rPr>
              <w:t>Entité adjudicatrice (réseaux) ou marché de défense ou de sécurité</w:t>
            </w:r>
          </w:p>
        </w:tc>
        <w:tc>
          <w:tcPr>
            <w:tcW w:type="dxa" w:w="1928"/>
          </w:tcPr>
          <w:p>
            <w:r/>
            <w:r>
              <w:rPr>
                <w:rFonts w:ascii="Calibri" w:hAnsi="Calibri" w:eastAsia="Calibri"/>
                <w:b w:val="0"/>
                <w:sz w:val="18"/>
              </w:rPr>
              <w:t>Dès 432 000 € HT</w:t>
            </w:r>
          </w:p>
        </w:tc>
        <w:tc>
          <w:tcPr>
            <w:tcW w:type="dxa" w:w="4762"/>
          </w:tcPr>
          <w:p>
            <w:r/>
            <w:r>
              <w:rPr>
                <w:rFonts w:ascii="Calibri" w:hAnsi="Calibri" w:eastAsia="Calibri"/>
                <w:b w:val="0"/>
                <w:sz w:val="18"/>
              </w:rPr>
              <w:t>Procédure formalisée, livre spécifique du code le cas échéant.</w:t>
            </w:r>
          </w:p>
        </w:tc>
      </w:tr>
    </w:tbl>
    <w:p/>
    <w:p>
      <w:pPr>
        <w:spacing w:after="160" w:before="0" w:line="259" w:lineRule="auto"/>
      </w:pPr>
      <w:r>
        <w:rPr>
          <w:rFonts w:ascii="Calibri" w:hAnsi="Calibri" w:eastAsia="Calibri"/>
          <w:b w:val="0"/>
          <w:sz w:val="22"/>
        </w:rPr>
        <w:t>En dessous des seuils européens, la procédure adaptée (articles R.2123-1 et suivants) permet de proportionner la publicité et les délais. Au-dessus, l’appel d’offres ouvert convient à un produit décrit par des performances. La procédure avec négociation ou le dialogue compétitif se justifient si le besoin ne peut pas être satisfait sans adaptation, pas seulement parce que l’acheteur préfère négocier.</w:t>
      </w:r>
    </w:p>
    <w:p>
      <w:pPr>
        <w:pStyle w:val="Heading2"/>
        <w:spacing w:before="240" w:after="120"/>
      </w:pPr>
      <w:r>
        <w:rPr>
          <w:rFonts w:ascii="Calibri" w:hAnsi="Calibri" w:eastAsia="Calibri"/>
          <w:b/>
          <w:color w:val="0B1F33"/>
          <w:sz w:val="26"/>
        </w:rPr>
        <w:t>1.3 Allotissement</w:t>
      </w:r>
    </w:p>
    <w:p>
      <w:pPr>
        <w:spacing w:after="160" w:before="0" w:line="259" w:lineRule="auto"/>
      </w:pPr>
      <w:r>
        <w:rPr>
          <w:rFonts w:ascii="Calibri" w:hAnsi="Calibri" w:eastAsia="Calibri"/>
          <w:b w:val="0"/>
          <w:sz w:val="22"/>
        </w:rPr>
        <w:t>L’article L.2113-10 pose le principe de l’allotissement. Deux montages sont défendables. L’acheteur en choisit un et motive l’autre s’il l’écarte.</w:t>
      </w:r>
    </w:p>
    <w:p>
      <w:pPr>
        <w:pStyle w:val="ListBullet"/>
        <w:spacing w:after="60"/>
      </w:pPr>
      <w:r>
        <w:rPr>
          <w:rFonts w:ascii="Calibri" w:hAnsi="Calibri" w:eastAsia="Calibri"/>
          <w:b w:val="0"/>
          <w:sz w:val="22"/>
        </w:rPr>
        <w:t>Lot unique « système de détection » : capteurs, hyperviseur, pose et maintenance. À motiver par l’indivisibilité technique (un hyperviseur qui doit fusionner nativement les pistes des capteurs, une recette unique, une responsabilité unique de bout en bout).</w:t>
      </w:r>
    </w:p>
    <w:p>
      <w:pPr>
        <w:pStyle w:val="ListBullet"/>
        <w:spacing w:after="60"/>
      </w:pPr>
      <w:r>
        <w:rPr>
          <w:rFonts w:ascii="Calibri" w:hAnsi="Calibri" w:eastAsia="Calibri"/>
          <w:b w:val="0"/>
          <w:sz w:val="22"/>
        </w:rPr>
        <w:t>Trois lots : lot 1 capteurs et pose, lot 2 hyperviseur et intégration, lot 3 maintenance. Prévoir alors une clause d’interface imposée (API, format des événements, ONVIF) et un mandataire de groupement si les candidats se présentent ensemble.</w:t>
      </w:r>
    </w:p>
    <w:p>
      <w:pPr>
        <w:spacing w:after="160" w:before="0" w:line="259" w:lineRule="auto"/>
      </w:pPr>
      <w:r>
        <w:rPr>
          <w:rFonts w:ascii="Calibri" w:hAnsi="Calibri" w:eastAsia="Calibri"/>
          <w:b w:val="0"/>
          <w:sz w:val="22"/>
        </w:rPr>
        <w:t>Les tranches optionnelles recommandées, pour ne pas gonfler le besoin ferme, sont : capteurs longue portée (15 km), PoE, antennes déportées, anti-leurrage Remote ID, récepteur ADS-B, interface SAPIENT, affichage via DJI O4 Ground Station déjà présente sur le site.</w:t>
      </w:r>
    </w:p>
    <w:p>
      <w:pPr>
        <w:pStyle w:val="Heading2"/>
        <w:spacing w:before="240" w:after="120"/>
      </w:pPr>
      <w:r>
        <w:rPr>
          <w:rFonts w:ascii="Calibri" w:hAnsi="Calibri" w:eastAsia="Calibri"/>
          <w:b/>
          <w:color w:val="0B1F33"/>
          <w:sz w:val="26"/>
        </w:rPr>
        <w:t>1.4 Variantes et équivalence</w:t>
      </w:r>
    </w:p>
    <w:p>
      <w:pPr>
        <w:pStyle w:val="ListBullet"/>
        <w:spacing w:after="60"/>
      </w:pPr>
      <w:r>
        <w:rPr>
          <w:rFonts w:ascii="Calibri" w:hAnsi="Calibri" w:eastAsia="Calibri"/>
          <w:b w:val="0"/>
          <w:sz w:val="22"/>
        </w:rPr>
        <w:t>Les variantes libres sont [autorisées / interdites — À COMPLÉTER].</w:t>
      </w:r>
    </w:p>
    <w:p>
      <w:pPr>
        <w:pStyle w:val="ListBullet"/>
        <w:spacing w:after="60"/>
      </w:pPr>
      <w:r>
        <w:rPr>
          <w:rFonts w:ascii="Calibri" w:hAnsi="Calibri" w:eastAsia="Calibri"/>
          <w:b w:val="0"/>
          <w:sz w:val="22"/>
        </w:rPr>
        <w:t>Une offre équivalente est recevable si la matrice de conformité répond « équivalent » sur chaque exigence impérative et joint la preuve demandée (fiche technique, rapport d’essai, extrait de certificat).</w:t>
      </w:r>
    </w:p>
    <w:p>
      <w:pPr>
        <w:pStyle w:val="ListBullet"/>
        <w:spacing w:after="60"/>
      </w:pPr>
      <w:r>
        <w:rPr>
          <w:rFonts w:ascii="Calibri" w:hAnsi="Calibri" w:eastAsia="Calibri"/>
          <w:b w:val="0"/>
          <w:sz w:val="22"/>
        </w:rPr>
        <w:t>Une exigence impérative non satisfaite et non équivalente rend l’offre irrégulière.</w:t>
      </w:r>
    </w:p>
    <w:p>
      <w:pPr>
        <w:pStyle w:val="ListBullet"/>
        <w:spacing w:after="60"/>
      </w:pPr>
      <w:r>
        <w:rPr>
          <w:rFonts w:ascii="Calibri" w:hAnsi="Calibri" w:eastAsia="Calibri"/>
          <w:b w:val="0"/>
          <w:sz w:val="22"/>
        </w:rPr>
        <w:t>Les exigences marquées « Option » ne sont notées que si l’acheteur retient la tranche.</w:t>
      </w:r>
    </w:p>
    <w:p>
      <w:pPr>
        <w:pStyle w:val="Heading2"/>
        <w:spacing w:before="240" w:after="120"/>
      </w:pPr>
      <w:r>
        <w:rPr>
          <w:rFonts w:ascii="Calibri" w:hAnsi="Calibri" w:eastAsia="Calibri"/>
          <w:b/>
          <w:color w:val="0B1F33"/>
          <w:sz w:val="26"/>
        </w:rPr>
        <w:t>1.5 Critères de jugement — exemple à adapter</w:t>
      </w:r>
    </w:p>
    <w:p>
      <w:pPr>
        <w:spacing w:after="160" w:before="0" w:line="259" w:lineRule="auto"/>
      </w:pPr>
      <w:r>
        <w:rPr>
          <w:rFonts w:ascii="Calibri" w:hAnsi="Calibri" w:eastAsia="Calibri"/>
          <w:b w:val="0"/>
          <w:sz w:val="22"/>
        </w:rPr>
        <w:t>L’acheteur fixe les pondérations. L’exemple ci-dessous n’est pas imposé par le code. Il évite qu’un écart de prix mineur efface un écart technique majeur sur une fonction de sûreté, sans annuler le prix.</w:t>
      </w:r>
    </w:p>
    <w:tbl>
      <w:tblPr>
        <w:tblStyle w:val="TableGrid"/>
        <w:tblW w:type="auto" w:w="0"/>
        <w:tblLayout w:type="autofit"/>
        <w:tblLook w:firstColumn="1" w:firstRow="1" w:lastColumn="0" w:lastRow="0" w:noHBand="0" w:noVBand="1" w:val="04A0"/>
      </w:tblPr>
      <w:tblGrid>
        <w:gridCol w:w="3289"/>
        <w:gridCol w:w="3289"/>
        <w:gridCol w:w="3289"/>
      </w:tblGrid>
      <w:tr>
        <w:tc>
          <w:tcPr>
            <w:tcW w:type="dxa" w:w="3118"/>
            <w:shd w:fill="1F5C99" w:val="clear"/>
          </w:tcPr>
          <w:p>
            <w:r/>
            <w:r>
              <w:rPr>
                <w:rFonts w:ascii="Calibri" w:hAnsi="Calibri" w:eastAsia="Calibri"/>
                <w:b/>
                <w:color w:val="FFFFFF"/>
                <w:sz w:val="18"/>
              </w:rPr>
              <w:t>Critère</w:t>
            </w:r>
          </w:p>
        </w:tc>
        <w:tc>
          <w:tcPr>
            <w:tcW w:type="dxa" w:w="1814"/>
            <w:shd w:fill="1F5C99" w:val="clear"/>
          </w:tcPr>
          <w:p>
            <w:r/>
            <w:r>
              <w:rPr>
                <w:rFonts w:ascii="Calibri" w:hAnsi="Calibri" w:eastAsia="Calibri"/>
                <w:b/>
                <w:color w:val="FFFFFF"/>
                <w:sz w:val="18"/>
              </w:rPr>
              <w:t>Poids indicatif</w:t>
            </w:r>
          </w:p>
        </w:tc>
        <w:tc>
          <w:tcPr>
            <w:tcW w:type="dxa" w:w="4706"/>
            <w:shd w:fill="1F5C99" w:val="clear"/>
          </w:tcPr>
          <w:p>
            <w:r/>
            <w:r>
              <w:rPr>
                <w:rFonts w:ascii="Calibri" w:hAnsi="Calibri" w:eastAsia="Calibri"/>
                <w:b/>
                <w:color w:val="FFFFFF"/>
                <w:sz w:val="18"/>
              </w:rPr>
              <w:t>Ce qui est lu</w:t>
            </w:r>
          </w:p>
        </w:tc>
      </w:tr>
      <w:tr>
        <w:tc>
          <w:tcPr>
            <w:tcW w:type="dxa" w:w="3118"/>
          </w:tcPr>
          <w:p>
            <w:r/>
            <w:r>
              <w:rPr>
                <w:rFonts w:ascii="Calibri" w:hAnsi="Calibri" w:eastAsia="Calibri"/>
                <w:b w:val="0"/>
                <w:sz w:val="18"/>
              </w:rPr>
              <w:t>Valeur technique</w:t>
            </w:r>
          </w:p>
        </w:tc>
        <w:tc>
          <w:tcPr>
            <w:tcW w:type="dxa" w:w="1814"/>
          </w:tcPr>
          <w:p>
            <w:r/>
            <w:r>
              <w:rPr>
                <w:rFonts w:ascii="Calibri" w:hAnsi="Calibri" w:eastAsia="Calibri"/>
                <w:b w:val="0"/>
                <w:sz w:val="18"/>
              </w:rPr>
              <w:t>55 %</w:t>
            </w:r>
          </w:p>
        </w:tc>
        <w:tc>
          <w:tcPr>
            <w:tcW w:type="dxa" w:w="4706"/>
          </w:tcPr>
          <w:p>
            <w:r/>
            <w:r>
              <w:rPr>
                <w:rFonts w:ascii="Calibri" w:hAnsi="Calibri" w:eastAsia="Calibri"/>
                <w:b w:val="0"/>
                <w:sz w:val="18"/>
              </w:rPr>
              <w:t>Matrice de conformité, portée démontrée, faux positifs, hypervision, sécurité, réversibilité, qualité du protocole d’essai.</w:t>
            </w:r>
          </w:p>
        </w:tc>
      </w:tr>
      <w:tr>
        <w:tc>
          <w:tcPr>
            <w:tcW w:type="dxa" w:w="3118"/>
            <w:shd w:fill="F4F7FB" w:val="clear"/>
          </w:tcPr>
          <w:p>
            <w:r/>
            <w:r>
              <w:rPr>
                <w:rFonts w:ascii="Calibri" w:hAnsi="Calibri" w:eastAsia="Calibri"/>
                <w:b w:val="0"/>
                <w:sz w:val="18"/>
              </w:rPr>
              <w:t>Prix global et forfait de maintenance</w:t>
            </w:r>
          </w:p>
        </w:tc>
        <w:tc>
          <w:tcPr>
            <w:tcW w:type="dxa" w:w="1814"/>
            <w:shd w:fill="F4F7FB" w:val="clear"/>
          </w:tcPr>
          <w:p>
            <w:r/>
            <w:r>
              <w:rPr>
                <w:rFonts w:ascii="Calibri" w:hAnsi="Calibri" w:eastAsia="Calibri"/>
                <w:b w:val="0"/>
                <w:sz w:val="18"/>
              </w:rPr>
              <w:t>30 %</w:t>
            </w:r>
          </w:p>
        </w:tc>
        <w:tc>
          <w:tcPr>
            <w:tcW w:type="dxa" w:w="4706"/>
            <w:shd w:fill="F4F7FB" w:val="clear"/>
          </w:tcPr>
          <w:p>
            <w:r/>
            <w:r>
              <w:rPr>
                <w:rFonts w:ascii="Calibri" w:hAnsi="Calibri" w:eastAsia="Calibri"/>
                <w:b w:val="0"/>
                <w:sz w:val="18"/>
              </w:rPr>
              <w:t>Bordereau des prix unitaires, coût complet sur la durée, y compris les mises à jour. Aucun prix n’est fixé par l’acheteur dans ce CCTP.</w:t>
            </w:r>
          </w:p>
        </w:tc>
      </w:tr>
      <w:tr>
        <w:tc>
          <w:tcPr>
            <w:tcW w:type="dxa" w:w="3118"/>
          </w:tcPr>
          <w:p>
            <w:r/>
            <w:r>
              <w:rPr>
                <w:rFonts w:ascii="Calibri" w:hAnsi="Calibri" w:eastAsia="Calibri"/>
                <w:b w:val="0"/>
                <w:sz w:val="18"/>
              </w:rPr>
              <w:t>Délais et organisation</w:t>
            </w:r>
          </w:p>
        </w:tc>
        <w:tc>
          <w:tcPr>
            <w:tcW w:type="dxa" w:w="1814"/>
          </w:tcPr>
          <w:p>
            <w:r/>
            <w:r>
              <w:rPr>
                <w:rFonts w:ascii="Calibri" w:hAnsi="Calibri" w:eastAsia="Calibri"/>
                <w:b w:val="0"/>
                <w:sz w:val="18"/>
              </w:rPr>
              <w:t>10 %</w:t>
            </w:r>
          </w:p>
        </w:tc>
        <w:tc>
          <w:tcPr>
            <w:tcW w:type="dxa" w:w="4706"/>
          </w:tcPr>
          <w:p>
            <w:r/>
            <w:r>
              <w:rPr>
                <w:rFonts w:ascii="Calibri" w:hAnsi="Calibri" w:eastAsia="Calibri"/>
                <w:b w:val="0"/>
                <w:sz w:val="18"/>
              </w:rPr>
              <w:t>Délai de déploiement, plan de formation, délai de prise en compte d’un incident critique.</w:t>
            </w:r>
          </w:p>
        </w:tc>
      </w:tr>
      <w:tr>
        <w:tc>
          <w:tcPr>
            <w:tcW w:type="dxa" w:w="3118"/>
            <w:shd w:fill="F4F7FB" w:val="clear"/>
          </w:tcPr>
          <w:p>
            <w:r/>
            <w:r>
              <w:rPr>
                <w:rFonts w:ascii="Calibri" w:hAnsi="Calibri" w:eastAsia="Calibri"/>
                <w:b w:val="0"/>
                <w:sz w:val="18"/>
              </w:rPr>
              <w:t>Souveraineté et maîtrise des données</w:t>
            </w:r>
          </w:p>
        </w:tc>
        <w:tc>
          <w:tcPr>
            <w:tcW w:type="dxa" w:w="1814"/>
            <w:shd w:fill="F4F7FB" w:val="clear"/>
          </w:tcPr>
          <w:p>
            <w:r/>
            <w:r>
              <w:rPr>
                <w:rFonts w:ascii="Calibri" w:hAnsi="Calibri" w:eastAsia="Calibri"/>
                <w:b w:val="0"/>
                <w:sz w:val="18"/>
              </w:rPr>
              <w:t>5 %</w:t>
            </w:r>
          </w:p>
        </w:tc>
        <w:tc>
          <w:tcPr>
            <w:tcW w:type="dxa" w:w="4706"/>
            <w:shd w:fill="F4F7FB" w:val="clear"/>
          </w:tcPr>
          <w:p>
            <w:r/>
            <w:r>
              <w:rPr>
                <w:rFonts w:ascii="Calibri" w:hAnsi="Calibri" w:eastAsia="Calibri"/>
                <w:b w:val="0"/>
                <w:sz w:val="18"/>
              </w:rPr>
              <w:t>Lieu de conception, de développement et de fabrication ; possibilité réelle d’un déploiement sur site sans cloud tiers.</w:t>
            </w:r>
          </w:p>
        </w:tc>
      </w:tr>
    </w:tbl>
    <w:p/>
    <w:p>
      <w:pPr>
        <w:pStyle w:val="Heading2"/>
        <w:spacing w:before="240" w:after="120"/>
      </w:pPr>
      <w:r>
        <w:rPr>
          <w:rFonts w:ascii="Calibri" w:hAnsi="Calibri" w:eastAsia="Calibri"/>
          <w:b/>
          <w:color w:val="0B1F33"/>
          <w:sz w:val="26"/>
        </w:rPr>
        <w:t>1.6 Délais et remise</w:t>
      </w:r>
    </w:p>
    <w:p>
      <w:pPr>
        <w:pStyle w:val="ListBullet"/>
        <w:spacing w:after="60"/>
      </w:pPr>
      <w:r>
        <w:rPr>
          <w:rFonts w:ascii="Calibri" w:hAnsi="Calibri" w:eastAsia="Calibri"/>
          <w:b w:val="0"/>
          <w:sz w:val="22"/>
        </w:rPr>
        <w:t>Délai minimal de réception des offres : celui du code pour la procédure choisie, ou, en procédure adaptée, un délai suffisant pour permettre une offre sérieuse. Valeur proposée à compléter : [À COMPLÉTER] jours.</w:t>
      </w:r>
    </w:p>
    <w:p>
      <w:pPr>
        <w:pStyle w:val="ListBullet"/>
        <w:spacing w:after="60"/>
      </w:pPr>
      <w:r>
        <w:rPr>
          <w:rFonts w:ascii="Calibri" w:hAnsi="Calibri" w:eastAsia="Calibri"/>
          <w:b w:val="0"/>
          <w:sz w:val="22"/>
        </w:rPr>
        <w:t>Visite de site : [obligatoire / facultative], dans des conditions identiques pour tous les candidats.</w:t>
      </w:r>
    </w:p>
    <w:p>
      <w:pPr>
        <w:pStyle w:val="ListBullet"/>
        <w:spacing w:after="60"/>
      </w:pPr>
      <w:r>
        <w:rPr>
          <w:rFonts w:ascii="Calibri" w:hAnsi="Calibri" w:eastAsia="Calibri"/>
          <w:b w:val="0"/>
          <w:sz w:val="22"/>
        </w:rPr>
        <w:t>Offres remises sur le profil d’acheteur [À COMPLÉTER] ou, en achat privé, à l’adresse [À COMPLÉTER].</w:t>
      </w:r>
    </w:p>
    <w:p>
      <w:pPr>
        <w:pStyle w:val="ListBullet"/>
        <w:spacing w:after="60"/>
      </w:pPr>
      <w:r>
        <w:rPr>
          <w:rFonts w:ascii="Calibri" w:hAnsi="Calibri" w:eastAsia="Calibri"/>
          <w:b w:val="0"/>
          <w:sz w:val="22"/>
        </w:rPr>
        <w:t>Langue : français.</w:t>
      </w:r>
    </w:p>
    <w:p>
      <w:pPr>
        <w:pStyle w:val="Heading1"/>
        <w:spacing w:before="320" w:after="120"/>
      </w:pPr>
      <w:r>
        <w:rPr>
          <w:rFonts w:ascii="Calibri" w:hAnsi="Calibri" w:eastAsia="Calibri"/>
          <w:b/>
          <w:color w:val="0B1F33"/>
          <w:sz w:val="32"/>
        </w:rPr>
        <w:t>2. Cahier des clauses techniques particulières</w:t>
      </w:r>
    </w:p>
    <w:p>
      <w:pPr>
        <w:pStyle w:val="Heading2"/>
        <w:spacing w:before="240" w:after="120"/>
      </w:pPr>
      <w:r>
        <w:rPr>
          <w:rFonts w:ascii="Calibri" w:hAnsi="Calibri" w:eastAsia="Calibri"/>
          <w:b/>
          <w:color w:val="0B1F33"/>
          <w:sz w:val="26"/>
        </w:rPr>
        <w:t>2.1 Contexte et résultat attendu</w:t>
      </w:r>
    </w:p>
    <w:p>
      <w:pPr>
        <w:spacing w:after="160" w:before="0" w:line="259" w:lineRule="auto"/>
      </w:pPr>
      <w:r>
        <w:rPr>
          <w:rFonts w:ascii="Calibri" w:hAnsi="Calibri" w:eastAsia="Calibri"/>
          <w:b w:val="0"/>
          <w:sz w:val="22"/>
        </w:rPr>
        <w:t>L’acheteur doit qualifier les survols de drones au-dessus des sites listés à l’annexe A, documenter les événements et alerter les équipes de sûreté. Le système détecte. Il n’intercepte pas, ne brouille pas et ne neutralise pas. La décision opérationnelle reste humaine.</w:t>
      </w:r>
    </w:p>
    <w:p>
      <w:pPr>
        <w:spacing w:after="160" w:before="0" w:line="259" w:lineRule="auto"/>
      </w:pPr>
      <w:r>
        <w:rPr>
          <w:rFonts w:ascii="Calibri" w:hAnsi="Calibri" w:eastAsia="Calibri"/>
          <w:b w:val="0"/>
          <w:sz w:val="22"/>
        </w:rPr>
        <w:t>Le résultat attendu, en exploitation courante, est le suivant.</w:t>
      </w:r>
    </w:p>
    <w:p>
      <w:pPr>
        <w:pStyle w:val="ListBullet"/>
        <w:spacing w:after="60"/>
      </w:pPr>
      <w:r>
        <w:rPr>
          <w:rFonts w:ascii="Calibri" w:hAnsi="Calibri" w:eastAsia="Calibri"/>
          <w:b w:val="0"/>
          <w:sz w:val="22"/>
        </w:rPr>
        <w:t>Un drone coopératif qui entre dans le volume surveillé est vu, positionné, et si la trame le permet, rattaché à un identifiant d’exploitant et à une position de télépilote.</w:t>
      </w:r>
    </w:p>
    <w:p>
      <w:pPr>
        <w:pStyle w:val="ListBullet"/>
        <w:spacing w:after="60"/>
      </w:pPr>
      <w:r>
        <w:rPr>
          <w:rFonts w:ascii="Calibri" w:hAnsi="Calibri" w:eastAsia="Calibri"/>
          <w:b w:val="0"/>
          <w:sz w:val="22"/>
        </w:rPr>
        <w:t>Un drone du commerce qui n’émet pas de Remote ID reste détectable par sa liaison radio usuelle, avec les limites décrites par le titulaire.</w:t>
      </w:r>
    </w:p>
    <w:p>
      <w:pPr>
        <w:pStyle w:val="ListBullet"/>
        <w:spacing w:after="60"/>
      </w:pPr>
      <w:r>
        <w:rPr>
          <w:rFonts w:ascii="Calibri" w:hAnsi="Calibri" w:eastAsia="Calibri"/>
          <w:b w:val="0"/>
          <w:sz w:val="22"/>
        </w:rPr>
        <w:t>Les oiseaux et le trafic aérien sans Remote ID ne créent pas une alerte coopérative.</w:t>
      </w:r>
    </w:p>
    <w:p>
      <w:pPr>
        <w:pStyle w:val="ListBullet"/>
        <w:spacing w:after="60"/>
      </w:pPr>
      <w:r>
        <w:rPr>
          <w:rFonts w:ascii="Calibri" w:hAnsi="Calibri" w:eastAsia="Calibri"/>
          <w:b w:val="0"/>
          <w:sz w:val="22"/>
        </w:rPr>
        <w:t>L’ensemble des capteurs se lit dans un seul hyperviseur, y compris hors connexion Internet grâce à des cartes embarquées.</w:t>
      </w:r>
    </w:p>
    <w:p>
      <w:pPr>
        <w:pStyle w:val="ListBullet"/>
        <w:spacing w:after="60"/>
      </w:pPr>
      <w:r>
        <w:rPr>
          <w:rFonts w:ascii="Calibri" w:hAnsi="Calibri" w:eastAsia="Calibri"/>
          <w:b w:val="0"/>
          <w:sz w:val="22"/>
        </w:rPr>
        <w:t>Un rapport PDF exploitable, non modifiable sans que cela se voie, peut être produit par vol et transmis à l’autorité compétente.</w:t>
      </w:r>
    </w:p>
    <w:p>
      <w:pPr>
        <w:pStyle w:val="Heading2"/>
        <w:spacing w:before="240" w:after="120"/>
      </w:pPr>
      <w:r>
        <w:rPr>
          <w:rFonts w:ascii="Calibri" w:hAnsi="Calibri" w:eastAsia="Calibri"/>
          <w:b/>
          <w:color w:val="0B1F33"/>
          <w:sz w:val="26"/>
        </w:rPr>
        <w:t>2.2 Périmètre</w:t>
      </w:r>
    </w:p>
    <w:p>
      <w:pPr>
        <w:pStyle w:val="ListBullet"/>
        <w:spacing w:after="60"/>
      </w:pPr>
      <w:r>
        <w:rPr>
          <w:rFonts w:ascii="Calibri" w:hAnsi="Calibri" w:eastAsia="Calibri"/>
          <w:b w:val="0"/>
          <w:sz w:val="22"/>
        </w:rPr>
        <w:t>Tranche ferme : [N] détecteurs de classe 5 km, licences d’hyperviseur correspondantes, pose, recette, formation, maintenance sur [DURÉE].</w:t>
      </w:r>
    </w:p>
    <w:p>
      <w:pPr>
        <w:pStyle w:val="ListBullet"/>
        <w:spacing w:after="60"/>
      </w:pPr>
      <w:r>
        <w:rPr>
          <w:rFonts w:ascii="Calibri" w:hAnsi="Calibri" w:eastAsia="Calibri"/>
          <w:b w:val="0"/>
          <w:sz w:val="22"/>
        </w:rPr>
        <w:t>Tranches optionnelles : celles listées aux exigences marquées « Option », affermies par ordre de service.</w:t>
      </w:r>
    </w:p>
    <w:p>
      <w:pPr>
        <w:pStyle w:val="ListBullet"/>
        <w:spacing w:after="60"/>
      </w:pPr>
      <w:r>
        <w:rPr>
          <w:rFonts w:ascii="Calibri" w:hAnsi="Calibri" w:eastAsia="Calibri"/>
          <w:b w:val="0"/>
          <w:sz w:val="22"/>
        </w:rPr>
        <w:t>Sites : liste en annexe A (adresse, contraintes de mât, réseau, alimentation, VMS existant).</w:t>
      </w:r>
    </w:p>
    <w:p>
      <w:pPr>
        <w:pStyle w:val="ListBullet"/>
        <w:spacing w:after="60"/>
      </w:pPr>
      <w:r>
        <w:rPr>
          <w:rFonts w:ascii="Calibri" w:hAnsi="Calibri" w:eastAsia="Calibri"/>
          <w:b w:val="0"/>
          <w:sz w:val="22"/>
        </w:rPr>
        <w:t>Hors marché : travaux de génie civil lourds, abonnements opérateurs mobiles au nom de l’acheteur, licences du VMS déjà détenu, autorisations d’urbanisme.</w:t>
      </w:r>
    </w:p>
    <w:p>
      <w:pPr>
        <w:pStyle w:val="Heading2"/>
        <w:spacing w:before="240" w:after="120"/>
      </w:pPr>
      <w:r>
        <w:rPr>
          <w:rFonts w:ascii="Calibri" w:hAnsi="Calibri" w:eastAsia="Calibri"/>
          <w:b/>
          <w:color w:val="0B1F33"/>
          <w:sz w:val="26"/>
        </w:rPr>
        <w:t>2.3 Preuve d’équivalence</w:t>
      </w:r>
    </w:p>
    <w:p>
      <w:pPr>
        <w:spacing w:after="160" w:before="0" w:line="259" w:lineRule="auto"/>
      </w:pPr>
      <w:r>
        <w:rPr>
          <w:rFonts w:ascii="Calibri" w:hAnsi="Calibri" w:eastAsia="Calibri"/>
          <w:b w:val="0"/>
          <w:sz w:val="22"/>
        </w:rPr>
        <w:t>Pour chaque exigence impérative, le soumissionnaire coche Conforme, Non conforme ou Équivalent. La case Équivalent n’est recevable qu’avec la pièce qui démontre le même résultat (mesure, norme, capture d’écran, rapport d’essai indépendant ou essai sur site). Une plaquette commerciale sans protocole ne suffit pas.</w:t>
      </w:r>
    </w:p>
    <w:p>
      <w:pPr>
        <w:pStyle w:val="Heading2"/>
        <w:spacing w:before="240" w:after="120"/>
      </w:pPr>
      <w:r>
        <w:rPr>
          <w:rFonts w:ascii="Calibri" w:hAnsi="Calibri" w:eastAsia="Calibri"/>
          <w:b/>
          <w:color w:val="0B1F33"/>
          <w:sz w:val="26"/>
        </w:rPr>
        <w:t>2.4 Exigences</w:t>
      </w:r>
    </w:p>
    <w:p>
      <w:pPr>
        <w:spacing w:after="160" w:before="0" w:line="259" w:lineRule="auto"/>
      </w:pPr>
      <w:r>
        <w:rPr>
          <w:rFonts w:ascii="Calibri" w:hAnsi="Calibri" w:eastAsia="Calibri"/>
          <w:b w:val="0"/>
          <w:sz w:val="22"/>
        </w:rPr>
        <w:t>Les valeurs chiffrées reprennent le niveau de performance de la solution de référence publiée par DECTYR (fiche RX-5 et description Hub). Un équivalent doit les atteindre, pas citer la marque.</w:t>
      </w:r>
    </w:p>
    <w:tbl>
      <w:tblPr>
        <w:tblStyle w:val="TableGrid"/>
        <w:tblW w:type="auto" w:w="0"/>
        <w:tblLayout w:type="autofit"/>
        <w:tblLook w:firstColumn="1" w:firstRow="1" w:lastColumn="0" w:lastRow="0" w:noHBand="0" w:noVBand="1" w:val="04A0"/>
      </w:tblPr>
      <w:tblGrid>
        <w:gridCol w:w="3289"/>
        <w:gridCol w:w="3289"/>
        <w:gridCol w:w="3289"/>
      </w:tblGrid>
      <w:tr>
        <w:tc>
          <w:tcPr>
            <w:tcW w:type="dxa" w:w="1247"/>
            <w:shd w:fill="1F5C99" w:val="clear"/>
          </w:tcPr>
          <w:p>
            <w:r/>
            <w:r>
              <w:rPr>
                <w:rFonts w:ascii="Calibri" w:hAnsi="Calibri" w:eastAsia="Calibri"/>
                <w:b/>
                <w:color w:val="FFFFFF"/>
                <w:sz w:val="18"/>
              </w:rPr>
              <w:t>ID</w:t>
            </w:r>
          </w:p>
        </w:tc>
        <w:tc>
          <w:tcPr>
            <w:tcW w:type="dxa" w:w="7143"/>
            <w:shd w:fill="1F5C99" w:val="clear"/>
          </w:tcPr>
          <w:p>
            <w:r/>
            <w:r>
              <w:rPr>
                <w:rFonts w:ascii="Calibri" w:hAnsi="Calibri" w:eastAsia="Calibri"/>
                <w:b/>
                <w:color w:val="FFFFFF"/>
                <w:sz w:val="18"/>
              </w:rPr>
              <w:t>Exigence</w:t>
            </w:r>
          </w:p>
        </w:tc>
        <w:tc>
          <w:tcPr>
            <w:tcW w:type="dxa" w:w="1361"/>
            <w:shd w:fill="1F5C99" w:val="clear"/>
          </w:tcPr>
          <w:p>
            <w:r/>
            <w:r>
              <w:rPr>
                <w:rFonts w:ascii="Calibri" w:hAnsi="Calibri" w:eastAsia="Calibri"/>
                <w:b/>
                <w:color w:val="FFFFFF"/>
                <w:sz w:val="18"/>
              </w:rPr>
              <w:t>Niveau</w:t>
            </w:r>
          </w:p>
        </w:tc>
      </w:tr>
      <w:tr>
        <w:tc>
          <w:tcPr>
            <w:tcW w:type="dxa" w:w="1247"/>
          </w:tcPr>
          <w:p>
            <w:r/>
            <w:r>
              <w:rPr>
                <w:rFonts w:ascii="Calibri" w:hAnsi="Calibri" w:eastAsia="Calibri"/>
                <w:b w:val="0"/>
                <w:sz w:val="18"/>
              </w:rPr>
              <w:t>DET-01</w:t>
            </w:r>
          </w:p>
        </w:tc>
        <w:tc>
          <w:tcPr>
            <w:tcW w:type="dxa" w:w="7143"/>
          </w:tcPr>
          <w:p>
            <w:r/>
            <w:r>
              <w:rPr>
                <w:rFonts w:ascii="Calibri" w:hAnsi="Calibri" w:eastAsia="Calibri"/>
                <w:b w:val="0"/>
                <w:sz w:val="18"/>
              </w:rPr>
              <w:t>Le capteur est strictement passif : aucune émission radio de détection, de brouillage ou de leurrage.</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DET-02</w:t>
            </w:r>
          </w:p>
        </w:tc>
        <w:tc>
          <w:tcPr>
            <w:tcW w:type="dxa" w:w="7143"/>
            <w:shd w:fill="F4F7FB" w:val="clear"/>
          </w:tcPr>
          <w:p>
            <w:r/>
            <w:r>
              <w:rPr>
                <w:rFonts w:ascii="Calibri" w:hAnsi="Calibri" w:eastAsia="Calibri"/>
                <w:b w:val="0"/>
                <w:sz w:val="18"/>
              </w:rPr>
              <w:t>La mise en service du capteur passif ne requiert pas d’autorisation d’émission ANFR.</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DET-03</w:t>
            </w:r>
          </w:p>
        </w:tc>
        <w:tc>
          <w:tcPr>
            <w:tcW w:type="dxa" w:w="7143"/>
          </w:tcPr>
          <w:p>
            <w:r/>
            <w:r>
              <w:rPr>
                <w:rFonts w:ascii="Calibri" w:hAnsi="Calibri" w:eastAsia="Calibri"/>
                <w:b w:val="0"/>
                <w:sz w:val="18"/>
              </w:rPr>
              <w:t>Détection coopérative des trames Direct Remote ID / signalement électronique sur Wi-Fi Beacon, Wi-Fi NaN (2,4 GHz, 5,1 GHz et 5,8 GHz), Bluetooth Legacy et Bluetooth Long Range.</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DET-04</w:t>
            </w:r>
          </w:p>
        </w:tc>
        <w:tc>
          <w:tcPr>
            <w:tcW w:type="dxa" w:w="7143"/>
            <w:shd w:fill="F4F7FB" w:val="clear"/>
          </w:tcPr>
          <w:p>
            <w:r/>
            <w:r>
              <w:rPr>
                <w:rFonts w:ascii="Calibri" w:hAnsi="Calibri" w:eastAsia="Calibri"/>
                <w:b w:val="0"/>
                <w:sz w:val="18"/>
              </w:rPr>
              <w:t>Conformité de lecture : EN 4709-002:2023, ASTM F3411-22a, arrêté français du 27 décembre 2019, JANS 0401 (Japon) et B-RID Singapour (Air Navigation Act 101C, Specifications 10).</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DET-05</w:t>
            </w:r>
          </w:p>
        </w:tc>
        <w:tc>
          <w:tcPr>
            <w:tcW w:type="dxa" w:w="7143"/>
          </w:tcPr>
          <w:p>
            <w:r/>
            <w:r>
              <w:rPr>
                <w:rFonts w:ascii="Calibri" w:hAnsi="Calibri" w:eastAsia="Calibri"/>
                <w:b w:val="0"/>
                <w:sz w:val="18"/>
              </w:rPr>
              <w:t>Portée utile annoncée d’au moins 5 km en champ libre pour le capteur de référence de la tranche ferme (solution de référence : DECTYR RX-5 ou équivalent).</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DET-06</w:t>
            </w:r>
          </w:p>
        </w:tc>
        <w:tc>
          <w:tcPr>
            <w:tcW w:type="dxa" w:w="7143"/>
            <w:shd w:fill="F4F7FB" w:val="clear"/>
          </w:tcPr>
          <w:p>
            <w:r/>
            <w:r>
              <w:rPr>
                <w:rFonts w:ascii="Calibri" w:hAnsi="Calibri" w:eastAsia="Calibri"/>
                <w:b w:val="0"/>
                <w:sz w:val="18"/>
              </w:rPr>
              <w:t>Tranche optionnelle : portée utile annoncée d’au moins 15 km en champ libre (solution de référence : DECTYR RX-15 ou équivalent).</w:t>
            </w:r>
          </w:p>
        </w:tc>
        <w:tc>
          <w:tcPr>
            <w:tcW w:type="dxa" w:w="1361"/>
            <w:shd w:fill="F4F7FB" w:val="clear"/>
          </w:tcPr>
          <w:p>
            <w:r/>
            <w:r>
              <w:rPr>
                <w:rFonts w:ascii="Calibri" w:hAnsi="Calibri" w:eastAsia="Calibri"/>
                <w:b w:val="0"/>
                <w:sz w:val="18"/>
              </w:rPr>
              <w:t>Option</w:t>
            </w:r>
          </w:p>
        </w:tc>
      </w:tr>
      <w:tr>
        <w:tc>
          <w:tcPr>
            <w:tcW w:type="dxa" w:w="1247"/>
          </w:tcPr>
          <w:p>
            <w:r/>
            <w:r>
              <w:rPr>
                <w:rFonts w:ascii="Calibri" w:hAnsi="Calibri" w:eastAsia="Calibri"/>
                <w:b w:val="0"/>
                <w:sz w:val="18"/>
              </w:rPr>
              <w:t>DET-07</w:t>
            </w:r>
          </w:p>
        </w:tc>
        <w:tc>
          <w:tcPr>
            <w:tcW w:type="dxa" w:w="7143"/>
          </w:tcPr>
          <w:p>
            <w:r/>
            <w:r>
              <w:rPr>
                <w:rFonts w:ascii="Calibri" w:hAnsi="Calibri" w:eastAsia="Calibri"/>
                <w:b w:val="0"/>
                <w:sz w:val="18"/>
              </w:rPr>
              <w:t>Affichage simultané de la position du drone et d’une position estimée du télépilote lorsque la trame Remote ID les contient.</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DET-08</w:t>
            </w:r>
          </w:p>
        </w:tc>
        <w:tc>
          <w:tcPr>
            <w:tcW w:type="dxa" w:w="7143"/>
            <w:shd w:fill="F4F7FB" w:val="clear"/>
          </w:tcPr>
          <w:p>
            <w:r/>
            <w:r>
              <w:rPr>
                <w:rFonts w:ascii="Calibri" w:hAnsi="Calibri" w:eastAsia="Calibri"/>
                <w:b w:val="0"/>
                <w:sz w:val="18"/>
              </w:rPr>
              <w:t>La voie coopérative ne déclenche pas d’alerte sur la faune ni sur un aéronef qui ne diffuse pas de Remote ID.</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DET-09</w:t>
            </w:r>
          </w:p>
        </w:tc>
        <w:tc>
          <w:tcPr>
            <w:tcW w:type="dxa" w:w="7143"/>
          </w:tcPr>
          <w:p>
            <w:r/>
            <w:r>
              <w:rPr>
                <w:rFonts w:ascii="Calibri" w:hAnsi="Calibri" w:eastAsia="Calibri"/>
                <w:b w:val="0"/>
                <w:sz w:val="18"/>
              </w:rPr>
              <w:t>Base de modèles de drones du commerce d’au moins 387 références à la remise de l’offre, mise à jour pendant toute la maintenance, sans remplacement du capteur.</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DET-10</w:t>
            </w:r>
          </w:p>
        </w:tc>
        <w:tc>
          <w:tcPr>
            <w:tcW w:type="dxa" w:w="7143"/>
            <w:shd w:fill="F4F7FB" w:val="clear"/>
          </w:tcPr>
          <w:p>
            <w:r/>
            <w:r>
              <w:rPr>
                <w:rFonts w:ascii="Calibri" w:hAnsi="Calibri" w:eastAsia="Calibri"/>
                <w:b w:val="0"/>
                <w:sz w:val="18"/>
              </w:rPr>
              <w:t>Détection des drones coopératifs d’une masse supérieure à 250 g. Le titulaire décrit comment la solution suivra le seuil de 100 g ou plus si l’avis EASA n° 06/2026 est adopté et entre en vigueur.</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DET-11</w:t>
            </w:r>
          </w:p>
        </w:tc>
        <w:tc>
          <w:tcPr>
            <w:tcW w:type="dxa" w:w="7143"/>
          </w:tcPr>
          <w:p>
            <w:r/>
            <w:r>
              <w:rPr>
                <w:rFonts w:ascii="Calibri" w:hAnsi="Calibri" w:eastAsia="Calibri"/>
                <w:b w:val="0"/>
                <w:sz w:val="18"/>
              </w:rPr>
              <w:t>Écoute radio non coopérative des liaisons usuelles du commerce (Wi-Fi / Bluetooth) pour les drones qui ne diffusent pas de Remote ID, avec un taux de fausses alertes documenté.</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DET-12</w:t>
            </w:r>
          </w:p>
        </w:tc>
        <w:tc>
          <w:tcPr>
            <w:tcW w:type="dxa" w:w="7143"/>
            <w:shd w:fill="F4F7FB" w:val="clear"/>
          </w:tcPr>
          <w:p>
            <w:r/>
            <w:r>
              <w:rPr>
                <w:rFonts w:ascii="Calibri" w:hAnsi="Calibri" w:eastAsia="Calibri"/>
                <w:b w:val="0"/>
                <w:sz w:val="18"/>
              </w:rPr>
              <w:t>Fusion des détections d’un même drone vu par plusieurs capteurs, sans doublon opérationnel dans l’hyperviseur.</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DET-13</w:t>
            </w:r>
          </w:p>
        </w:tc>
        <w:tc>
          <w:tcPr>
            <w:tcW w:type="dxa" w:w="7143"/>
          </w:tcPr>
          <w:p>
            <w:r/>
            <w:r>
              <w:rPr>
                <w:rFonts w:ascii="Calibri" w:hAnsi="Calibri" w:eastAsia="Calibri"/>
                <w:b w:val="0"/>
                <w:sz w:val="18"/>
              </w:rPr>
              <w:t>Interface locale sécurisée, utilisable dans un navigateur sur poste, tablette et smartphone, sans application à installer.</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DET-14</w:t>
            </w:r>
          </w:p>
        </w:tc>
        <w:tc>
          <w:tcPr>
            <w:tcW w:type="dxa" w:w="7143"/>
            <w:shd w:fill="F4F7FB" w:val="clear"/>
          </w:tcPr>
          <w:p>
            <w:r/>
            <w:r>
              <w:rPr>
                <w:rFonts w:ascii="Calibri" w:hAnsi="Calibri" w:eastAsia="Calibri"/>
                <w:b w:val="0"/>
                <w:sz w:val="18"/>
              </w:rPr>
              <w:t>Rapport PDF par vol : carte des trajectoires, identité disponible du drone et de l’opérateur, distances et durées. Le PDF est signé ou protégé contre la modification. Filtre par période et par zone.</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DET-15</w:t>
            </w:r>
          </w:p>
        </w:tc>
        <w:tc>
          <w:tcPr>
            <w:tcW w:type="dxa" w:w="7143"/>
          </w:tcPr>
          <w:p>
            <w:r/>
            <w:r>
              <w:rPr>
                <w:rFonts w:ascii="Calibri" w:hAnsi="Calibri" w:eastAsia="Calibri"/>
                <w:b w:val="0"/>
                <w:sz w:val="18"/>
              </w:rPr>
              <w:t>Flux vidéo de détection RTSP H.264 1080p et conformité ONVIF, pour intégration dans le VMS déjà en place chez l’acheteur.</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DET-16</w:t>
            </w:r>
          </w:p>
        </w:tc>
        <w:tc>
          <w:tcPr>
            <w:tcW w:type="dxa" w:w="7143"/>
            <w:shd w:fill="F4F7FB" w:val="clear"/>
          </w:tcPr>
          <w:p>
            <w:r/>
            <w:r>
              <w:rPr>
                <w:rFonts w:ascii="Calibri" w:hAnsi="Calibri" w:eastAsia="Calibri"/>
                <w:b w:val="0"/>
                <w:sz w:val="18"/>
              </w:rPr>
              <w:t>Tranche optionnelle anti-leurrage : écarter les faux Remote ID émis depuis le sol.</w:t>
            </w:r>
          </w:p>
        </w:tc>
        <w:tc>
          <w:tcPr>
            <w:tcW w:type="dxa" w:w="1361"/>
            <w:shd w:fill="F4F7FB" w:val="clear"/>
          </w:tcPr>
          <w:p>
            <w:r/>
            <w:r>
              <w:rPr>
                <w:rFonts w:ascii="Calibri" w:hAnsi="Calibri" w:eastAsia="Calibri"/>
                <w:b w:val="0"/>
                <w:sz w:val="18"/>
              </w:rPr>
              <w:t>Option</w:t>
            </w:r>
          </w:p>
        </w:tc>
      </w:tr>
      <w:tr>
        <w:tc>
          <w:tcPr>
            <w:tcW w:type="dxa" w:w="1247"/>
          </w:tcPr>
          <w:p>
            <w:r/>
            <w:r>
              <w:rPr>
                <w:rFonts w:ascii="Calibri" w:hAnsi="Calibri" w:eastAsia="Calibri"/>
                <w:b w:val="0"/>
                <w:sz w:val="18"/>
              </w:rPr>
              <w:t>DET-17</w:t>
            </w:r>
          </w:p>
        </w:tc>
        <w:tc>
          <w:tcPr>
            <w:tcW w:type="dxa" w:w="7143"/>
          </w:tcPr>
          <w:p>
            <w:r/>
            <w:r>
              <w:rPr>
                <w:rFonts w:ascii="Calibri" w:hAnsi="Calibri" w:eastAsia="Calibri"/>
                <w:b w:val="0"/>
                <w:sz w:val="18"/>
              </w:rPr>
              <w:t>Tranche optionnelle récepteur ADS-B passif (pas d’interrogation de transpondeur) : position, altitude et identité du trafic aérien coopératif, affiché à côté du Remote ID.</w:t>
            </w:r>
          </w:p>
        </w:tc>
        <w:tc>
          <w:tcPr>
            <w:tcW w:type="dxa" w:w="1361"/>
          </w:tcPr>
          <w:p>
            <w:r/>
            <w:r>
              <w:rPr>
                <w:rFonts w:ascii="Calibri" w:hAnsi="Calibri" w:eastAsia="Calibri"/>
                <w:b w:val="0"/>
                <w:sz w:val="18"/>
              </w:rPr>
              <w:t>Option</w:t>
            </w:r>
          </w:p>
        </w:tc>
      </w:tr>
      <w:tr>
        <w:tc>
          <w:tcPr>
            <w:tcW w:type="dxa" w:w="1247"/>
            <w:shd w:fill="F4F7FB" w:val="clear"/>
          </w:tcPr>
          <w:p>
            <w:r/>
            <w:r>
              <w:rPr>
                <w:rFonts w:ascii="Calibri" w:hAnsi="Calibri" w:eastAsia="Calibri"/>
                <w:b w:val="0"/>
                <w:sz w:val="18"/>
              </w:rPr>
              <w:t>DET-18</w:t>
            </w:r>
          </w:p>
        </w:tc>
        <w:tc>
          <w:tcPr>
            <w:tcW w:type="dxa" w:w="7143"/>
            <w:shd w:fill="F4F7FB" w:val="clear"/>
          </w:tcPr>
          <w:p>
            <w:r/>
            <w:r>
              <w:rPr>
                <w:rFonts w:ascii="Calibri" w:hAnsi="Calibri" w:eastAsia="Calibri"/>
                <w:b w:val="0"/>
                <w:sz w:val="18"/>
              </w:rPr>
              <w:t>Tranche optionnelle interface SAPIENT vers un centre de fusion ou de commandement.</w:t>
            </w:r>
          </w:p>
        </w:tc>
        <w:tc>
          <w:tcPr>
            <w:tcW w:type="dxa" w:w="1361"/>
            <w:shd w:fill="F4F7FB" w:val="clear"/>
          </w:tcPr>
          <w:p>
            <w:r/>
            <w:r>
              <w:rPr>
                <w:rFonts w:ascii="Calibri" w:hAnsi="Calibri" w:eastAsia="Calibri"/>
                <w:b w:val="0"/>
                <w:sz w:val="18"/>
              </w:rPr>
              <w:t>Option</w:t>
            </w:r>
          </w:p>
        </w:tc>
      </w:tr>
      <w:tr>
        <w:tc>
          <w:tcPr>
            <w:tcW w:type="dxa" w:w="1247"/>
          </w:tcPr>
          <w:p>
            <w:r/>
            <w:r>
              <w:rPr>
                <w:rFonts w:ascii="Calibri" w:hAnsi="Calibri" w:eastAsia="Calibri"/>
                <w:b w:val="0"/>
                <w:sz w:val="18"/>
              </w:rPr>
              <w:t>DET-19</w:t>
            </w:r>
          </w:p>
        </w:tc>
        <w:tc>
          <w:tcPr>
            <w:tcW w:type="dxa" w:w="7143"/>
          </w:tcPr>
          <w:p>
            <w:r/>
            <w:r>
              <w:rPr>
                <w:rFonts w:ascii="Calibri" w:hAnsi="Calibri" w:eastAsia="Calibri"/>
                <w:b w:val="0"/>
                <w:sz w:val="18"/>
              </w:rPr>
              <w:t>Tranche optionnelle affichage des détections dans un environnement DJI déjà installé, via une DJI O4 Ground Station du site. Le capteur ne pilote pas les drones DJI et n’est pas un produit DJI.</w:t>
            </w:r>
          </w:p>
        </w:tc>
        <w:tc>
          <w:tcPr>
            <w:tcW w:type="dxa" w:w="1361"/>
          </w:tcPr>
          <w:p>
            <w:r/>
            <w:r>
              <w:rPr>
                <w:rFonts w:ascii="Calibri" w:hAnsi="Calibri" w:eastAsia="Calibri"/>
                <w:b w:val="0"/>
                <w:sz w:val="18"/>
              </w:rPr>
              <w:t>Option</w:t>
            </w:r>
          </w:p>
        </w:tc>
      </w:tr>
      <w:tr>
        <w:tc>
          <w:tcPr>
            <w:tcW w:type="dxa" w:w="1247"/>
            <w:shd w:fill="F4F7FB" w:val="clear"/>
          </w:tcPr>
          <w:p>
            <w:r/>
            <w:r>
              <w:rPr>
                <w:rFonts w:ascii="Calibri" w:hAnsi="Calibri" w:eastAsia="Calibri"/>
                <w:b w:val="0"/>
                <w:sz w:val="18"/>
              </w:rPr>
              <w:t>MAT-01</w:t>
            </w:r>
          </w:p>
        </w:tc>
        <w:tc>
          <w:tcPr>
            <w:tcW w:type="dxa" w:w="7143"/>
            <w:shd w:fill="F4F7FB" w:val="clear"/>
          </w:tcPr>
          <w:p>
            <w:r/>
            <w:r>
              <w:rPr>
                <w:rFonts w:ascii="Calibri" w:hAnsi="Calibri" w:eastAsia="Calibri"/>
                <w:b w:val="0"/>
                <w:sz w:val="18"/>
              </w:rPr>
              <w:t>Indice de protection IP67, tenue aux UV.</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MAT-02</w:t>
            </w:r>
          </w:p>
        </w:tc>
        <w:tc>
          <w:tcPr>
            <w:tcW w:type="dxa" w:w="7143"/>
          </w:tcPr>
          <w:p>
            <w:r/>
            <w:r>
              <w:rPr>
                <w:rFonts w:ascii="Calibri" w:hAnsi="Calibri" w:eastAsia="Calibri"/>
                <w:b w:val="0"/>
                <w:sz w:val="18"/>
              </w:rPr>
              <w:t>Fonctionnement de −20 °C à +50 °C.</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MAT-03</w:t>
            </w:r>
          </w:p>
        </w:tc>
        <w:tc>
          <w:tcPr>
            <w:tcW w:type="dxa" w:w="7143"/>
            <w:shd w:fill="F4F7FB" w:val="clear"/>
          </w:tcPr>
          <w:p>
            <w:r/>
            <w:r>
              <w:rPr>
                <w:rFonts w:ascii="Calibri" w:hAnsi="Calibri" w:eastAsia="Calibri"/>
                <w:b w:val="0"/>
                <w:sz w:val="18"/>
              </w:rPr>
              <w:t>Masse unitaire d’environ 3 kg et encombrement permettant une fixation sur mât de diamètre 30 à 65 mm.</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MAT-04</w:t>
            </w:r>
          </w:p>
        </w:tc>
        <w:tc>
          <w:tcPr>
            <w:tcW w:type="dxa" w:w="7143"/>
          </w:tcPr>
          <w:p>
            <w:r/>
            <w:r>
              <w:rPr>
                <w:rFonts w:ascii="Calibri" w:hAnsi="Calibri" w:eastAsia="Calibri"/>
                <w:b w:val="0"/>
                <w:sz w:val="18"/>
              </w:rPr>
              <w:t>Alimentation en courant continu 6 à 18 V. PoE en tranche optionnelle.</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MAT-05</w:t>
            </w:r>
          </w:p>
        </w:tc>
        <w:tc>
          <w:tcPr>
            <w:tcW w:type="dxa" w:w="7143"/>
            <w:shd w:fill="F4F7FB" w:val="clear"/>
          </w:tcPr>
          <w:p>
            <w:r/>
            <w:r>
              <w:rPr>
                <w:rFonts w:ascii="Calibri" w:hAnsi="Calibri" w:eastAsia="Calibri"/>
                <w:b w:val="0"/>
                <w:sz w:val="18"/>
              </w:rPr>
              <w:t>Puissance nominale de l’ordre de 10 W et puissance maximale de l’ordre de 36 W en charge, à confirmer dans la mémoire technique.</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MAT-06</w:t>
            </w:r>
          </w:p>
        </w:tc>
        <w:tc>
          <w:tcPr>
            <w:tcW w:type="dxa" w:w="7143"/>
          </w:tcPr>
          <w:p>
            <w:r/>
            <w:r>
              <w:rPr>
                <w:rFonts w:ascii="Calibri" w:hAnsi="Calibri" w:eastAsia="Calibri"/>
                <w:b w:val="0"/>
                <w:sz w:val="18"/>
              </w:rPr>
              <w:t>Autonomie sur batterie de secours d’au moins 5 heures.</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MAT-07</w:t>
            </w:r>
          </w:p>
        </w:tc>
        <w:tc>
          <w:tcPr>
            <w:tcW w:type="dxa" w:w="7143"/>
            <w:shd w:fill="F4F7FB" w:val="clear"/>
          </w:tcPr>
          <w:p>
            <w:r/>
            <w:r>
              <w:rPr>
                <w:rFonts w:ascii="Calibri" w:hAnsi="Calibri" w:eastAsia="Calibri"/>
                <w:b w:val="0"/>
                <w:sz w:val="18"/>
              </w:rPr>
              <w:t>Ethernet et liaison mobile 4G, avec bascule automatique.</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MAT-08</w:t>
            </w:r>
          </w:p>
        </w:tc>
        <w:tc>
          <w:tcPr>
            <w:tcW w:type="dxa" w:w="7143"/>
          </w:tcPr>
          <w:p>
            <w:r/>
            <w:r>
              <w:rPr>
                <w:rFonts w:ascii="Calibri" w:hAnsi="Calibri" w:eastAsia="Calibri"/>
                <w:b w:val="0"/>
                <w:sz w:val="18"/>
              </w:rPr>
              <w:t>GNSS multi-constellations intégré.</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MAT-09</w:t>
            </w:r>
          </w:p>
        </w:tc>
        <w:tc>
          <w:tcPr>
            <w:tcW w:type="dxa" w:w="7143"/>
            <w:shd w:fill="F4F7FB" w:val="clear"/>
          </w:tcPr>
          <w:p>
            <w:r/>
            <w:r>
              <w:rPr>
                <w:rFonts w:ascii="Calibri" w:hAnsi="Calibri" w:eastAsia="Calibri"/>
                <w:b w:val="0"/>
                <w:sz w:val="18"/>
              </w:rPr>
              <w:t>Antennes déportables (rallonges) en tranche optionnelle.</w:t>
            </w:r>
          </w:p>
        </w:tc>
        <w:tc>
          <w:tcPr>
            <w:tcW w:type="dxa" w:w="1361"/>
            <w:shd w:fill="F4F7FB" w:val="clear"/>
          </w:tcPr>
          <w:p>
            <w:r/>
            <w:r>
              <w:rPr>
                <w:rFonts w:ascii="Calibri" w:hAnsi="Calibri" w:eastAsia="Calibri"/>
                <w:b w:val="0"/>
                <w:sz w:val="18"/>
              </w:rPr>
              <w:t>Option</w:t>
            </w:r>
          </w:p>
        </w:tc>
      </w:tr>
      <w:tr>
        <w:tc>
          <w:tcPr>
            <w:tcW w:type="dxa" w:w="1247"/>
          </w:tcPr>
          <w:p>
            <w:r/>
            <w:r>
              <w:rPr>
                <w:rFonts w:ascii="Calibri" w:hAnsi="Calibri" w:eastAsia="Calibri"/>
                <w:b w:val="0"/>
                <w:sz w:val="18"/>
              </w:rPr>
              <w:t>HUB-01</w:t>
            </w:r>
          </w:p>
        </w:tc>
        <w:tc>
          <w:tcPr>
            <w:tcW w:type="dxa" w:w="7143"/>
          </w:tcPr>
          <w:p>
            <w:r/>
            <w:r>
              <w:rPr>
                <w:rFonts w:ascii="Calibri" w:hAnsi="Calibri" w:eastAsia="Calibri"/>
                <w:b w:val="0"/>
                <w:sz w:val="18"/>
              </w:rPr>
              <w:t>Hyperviseur unique pour l’ensemble de la flotte et des sites de l’acheteur (solution de référence : DECTYR Hub ou équivalent).</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HUB-02</w:t>
            </w:r>
          </w:p>
        </w:tc>
        <w:tc>
          <w:tcPr>
            <w:tcW w:type="dxa" w:w="7143"/>
            <w:shd w:fill="F4F7FB" w:val="clear"/>
          </w:tcPr>
          <w:p>
            <w:r/>
            <w:r>
              <w:rPr>
                <w:rFonts w:ascii="Calibri" w:hAnsi="Calibri" w:eastAsia="Calibri"/>
                <w:b w:val="0"/>
                <w:sz w:val="18"/>
              </w:rPr>
              <w:t>Carte temps réel des drones, des positions et des mouvements, historique et relecture.</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HUB-03</w:t>
            </w:r>
          </w:p>
        </w:tc>
        <w:tc>
          <w:tcPr>
            <w:tcW w:type="dxa" w:w="7143"/>
          </w:tcPr>
          <w:p>
            <w:r/>
            <w:r>
              <w:rPr>
                <w:rFonts w:ascii="Calibri" w:hAnsi="Calibri" w:eastAsia="Calibri"/>
                <w:b w:val="0"/>
                <w:sz w:val="18"/>
              </w:rPr>
              <w:t>Fonds de carte en ligne et fonds de carte hors ligne, pour un fonctionnement nominal sans Internet.</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HUB-04</w:t>
            </w:r>
          </w:p>
        </w:tc>
        <w:tc>
          <w:tcPr>
            <w:tcW w:type="dxa" w:w="7143"/>
            <w:shd w:fill="F4F7FB" w:val="clear"/>
          </w:tcPr>
          <w:p>
            <w:r/>
            <w:r>
              <w:rPr>
                <w:rFonts w:ascii="Calibri" w:hAnsi="Calibri" w:eastAsia="Calibri"/>
                <w:b w:val="0"/>
                <w:sz w:val="18"/>
              </w:rPr>
              <w:t>Parc de capteurs : état, regroupement par site ou équipe, actions de maintenance à distance.</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HUB-05</w:t>
            </w:r>
          </w:p>
        </w:tc>
        <w:tc>
          <w:tcPr>
            <w:tcW w:type="dxa" w:w="7143"/>
          </w:tcPr>
          <w:p>
            <w:r/>
            <w:r>
              <w:rPr>
                <w:rFonts w:ascii="Calibri" w:hAnsi="Calibri" w:eastAsia="Calibri"/>
                <w:b w:val="0"/>
                <w:sz w:val="18"/>
              </w:rPr>
              <w:t>Alertes dans l’interface et par messagerie, y compris en cas d’anomalie matérielle.</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HUB-06</w:t>
            </w:r>
          </w:p>
        </w:tc>
        <w:tc>
          <w:tcPr>
            <w:tcW w:type="dxa" w:w="7143"/>
            <w:shd w:fill="F4F7FB" w:val="clear"/>
          </w:tcPr>
          <w:p>
            <w:r/>
            <w:r>
              <w:rPr>
                <w:rFonts w:ascii="Calibri" w:hAnsi="Calibri" w:eastAsia="Calibri"/>
                <w:b w:val="0"/>
                <w:sz w:val="18"/>
              </w:rPr>
              <w:t>Comptes, profils et délégation par périmètre. Authentification forte et second facteur disponibles pour les profils exposés.</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HUB-07</w:t>
            </w:r>
          </w:p>
        </w:tc>
        <w:tc>
          <w:tcPr>
            <w:tcW w:type="dxa" w:w="7143"/>
          </w:tcPr>
          <w:p>
            <w:r/>
            <w:r>
              <w:rPr>
                <w:rFonts w:ascii="Calibri" w:hAnsi="Calibri" w:eastAsia="Calibri"/>
                <w:b w:val="0"/>
                <w:sz w:val="18"/>
              </w:rPr>
              <w:t>Journal d’audit des connexions, des changements de configuration et des actions sensibles, durée de conservation paramétrable.</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HUB-08</w:t>
            </w:r>
          </w:p>
        </w:tc>
        <w:tc>
          <w:tcPr>
            <w:tcW w:type="dxa" w:w="7143"/>
            <w:shd w:fill="F4F7FB" w:val="clear"/>
          </w:tcPr>
          <w:p>
            <w:r/>
            <w:r>
              <w:rPr>
                <w:rFonts w:ascii="Calibri" w:hAnsi="Calibri" w:eastAsia="Calibri"/>
                <w:b w:val="0"/>
                <w:sz w:val="18"/>
              </w:rPr>
              <w:t>Déploiement sur l’infrastructure de l’acheteur (sur site ou cloud privé). Aucun cloud tiers imposé pour le fonctionnement courant.</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HUB-09</w:t>
            </w:r>
          </w:p>
        </w:tc>
        <w:tc>
          <w:tcPr>
            <w:tcW w:type="dxa" w:w="7143"/>
          </w:tcPr>
          <w:p>
            <w:r/>
            <w:r>
              <w:rPr>
                <w:rFonts w:ascii="Calibri" w:hAnsi="Calibri" w:eastAsia="Calibri"/>
                <w:b w:val="0"/>
                <w:sz w:val="18"/>
              </w:rPr>
              <w:t>Accès chiffré. Secrets non affichés en clair dans l’interface.</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HUB-10</w:t>
            </w:r>
          </w:p>
        </w:tc>
        <w:tc>
          <w:tcPr>
            <w:tcW w:type="dxa" w:w="7143"/>
            <w:shd w:fill="F4F7FB" w:val="clear"/>
          </w:tcPr>
          <w:p>
            <w:r/>
            <w:r>
              <w:rPr>
                <w:rFonts w:ascii="Calibri" w:hAnsi="Calibri" w:eastAsia="Calibri"/>
                <w:b w:val="0"/>
                <w:sz w:val="18"/>
              </w:rPr>
              <w:t>API documentée pour l’intégration au système d’information, au VMS, au SIEM ou au PSIM de l’acheteur.</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HUB-11</w:t>
            </w:r>
          </w:p>
        </w:tc>
        <w:tc>
          <w:tcPr>
            <w:tcW w:type="dxa" w:w="7143"/>
          </w:tcPr>
          <w:p>
            <w:r/>
            <w:r>
              <w:rPr>
                <w:rFonts w:ascii="Calibri" w:hAnsi="Calibri" w:eastAsia="Calibri"/>
                <w:b w:val="0"/>
                <w:sz w:val="18"/>
              </w:rPr>
              <w:t>Sauvegarde et procédure de reprise documentées.</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HUB-12</w:t>
            </w:r>
          </w:p>
        </w:tc>
        <w:tc>
          <w:tcPr>
            <w:tcW w:type="dxa" w:w="7143"/>
            <w:shd w:fill="F4F7FB" w:val="clear"/>
          </w:tcPr>
          <w:p>
            <w:r/>
            <w:r>
              <w:rPr>
                <w:rFonts w:ascii="Calibri" w:hAnsi="Calibri" w:eastAsia="Calibri"/>
                <w:b w:val="0"/>
                <w:sz w:val="18"/>
              </w:rPr>
              <w:t>Même capacité de rapport PDF signé que le capteur, à l’échelle de la flotte.</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HUB-13</w:t>
            </w:r>
          </w:p>
        </w:tc>
        <w:tc>
          <w:tcPr>
            <w:tcW w:type="dxa" w:w="7143"/>
          </w:tcPr>
          <w:p>
            <w:r/>
            <w:r>
              <w:rPr>
                <w:rFonts w:ascii="Calibri" w:hAnsi="Calibri" w:eastAsia="Calibri"/>
                <w:b w:val="0"/>
                <w:sz w:val="18"/>
              </w:rPr>
              <w:t>Interface et documentation opératoire en français. L’anglais est accepté en complément.</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SEC-01</w:t>
            </w:r>
          </w:p>
        </w:tc>
        <w:tc>
          <w:tcPr>
            <w:tcW w:type="dxa" w:w="7143"/>
            <w:shd w:fill="F4F7FB" w:val="clear"/>
          </w:tcPr>
          <w:p>
            <w:r/>
            <w:r>
              <w:rPr>
                <w:rFonts w:ascii="Calibri" w:hAnsi="Calibri" w:eastAsia="Calibri"/>
                <w:b w:val="0"/>
                <w:sz w:val="18"/>
              </w:rPr>
              <w:t>Hors périmètre : brouillage, leurrage actif, filet, effecteur cinétique, et toute action sur le drone lui-même.</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SEC-02</w:t>
            </w:r>
          </w:p>
        </w:tc>
        <w:tc>
          <w:tcPr>
            <w:tcW w:type="dxa" w:w="7143"/>
          </w:tcPr>
          <w:p>
            <w:r/>
            <w:r>
              <w:rPr>
                <w:rFonts w:ascii="Calibri" w:hAnsi="Calibri" w:eastAsia="Calibri"/>
                <w:b w:val="0"/>
                <w:sz w:val="18"/>
              </w:rPr>
              <w:t>Analyse d’impact relative à la protection des données si des identifiants d’exploitant, des positions de télépilote ou des images sont enregistrés. Registre des traitements fourni.</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SEC-03</w:t>
            </w:r>
          </w:p>
        </w:tc>
        <w:tc>
          <w:tcPr>
            <w:tcW w:type="dxa" w:w="7143"/>
            <w:shd w:fill="F4F7FB" w:val="clear"/>
          </w:tcPr>
          <w:p>
            <w:r/>
            <w:r>
              <w:rPr>
                <w:rFonts w:ascii="Calibri" w:hAnsi="Calibri" w:eastAsia="Calibri"/>
                <w:b w:val="0"/>
                <w:sz w:val="18"/>
              </w:rPr>
              <w:t>Les données opérationnelles et les journaux restent la propriété de l’acheteur. Réversibilité : export complet en fin de marché.</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SEC-04</w:t>
            </w:r>
          </w:p>
        </w:tc>
        <w:tc>
          <w:tcPr>
            <w:tcW w:type="dxa" w:w="7143"/>
          </w:tcPr>
          <w:p>
            <w:r/>
            <w:r>
              <w:rPr>
                <w:rFonts w:ascii="Calibri" w:hAnsi="Calibri" w:eastAsia="Calibri"/>
                <w:b w:val="0"/>
                <w:sz w:val="18"/>
              </w:rPr>
              <w:t>Le soumissionnaire indique les pays de conception, de développement logiciel et de fabrication. Ce n’est pas un critère d’exclusion à l’origine ; c’est une information notée au jugement des offres.</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SVC-01</w:t>
            </w:r>
          </w:p>
        </w:tc>
        <w:tc>
          <w:tcPr>
            <w:tcW w:type="dxa" w:w="7143"/>
            <w:shd w:fill="F4F7FB" w:val="clear"/>
          </w:tcPr>
          <w:p>
            <w:r/>
            <w:r>
              <w:rPr>
                <w:rFonts w:ascii="Calibri" w:hAnsi="Calibri" w:eastAsia="Calibri"/>
                <w:b w:val="0"/>
                <w:sz w:val="18"/>
              </w:rPr>
              <w:t>Installation, mise en service, recette sur site et formation des exploitants, en français, pour les effectifs indiqués à l’acte d’engagement.</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SVC-02</w:t>
            </w:r>
          </w:p>
        </w:tc>
        <w:tc>
          <w:tcPr>
            <w:tcW w:type="dxa" w:w="7143"/>
          </w:tcPr>
          <w:p>
            <w:r/>
            <w:r>
              <w:rPr>
                <w:rFonts w:ascii="Calibri" w:hAnsi="Calibri" w:eastAsia="Calibri"/>
                <w:b w:val="0"/>
                <w:sz w:val="18"/>
              </w:rPr>
              <w:t>Maintenance corrective et évolutive sur la durée du marché, incluant les mises à jour logicielles, réglementaires Remote ID et de la base de modèles.</w:t>
            </w:r>
          </w:p>
        </w:tc>
        <w:tc>
          <w:tcPr>
            <w:tcW w:type="dxa" w:w="1361"/>
          </w:tcPr>
          <w:p>
            <w:r/>
            <w:r>
              <w:rPr>
                <w:rFonts w:ascii="Calibri" w:hAnsi="Calibri" w:eastAsia="Calibri"/>
                <w:b w:val="0"/>
                <w:sz w:val="18"/>
              </w:rPr>
              <w:t>Impérative</w:t>
            </w:r>
          </w:p>
        </w:tc>
      </w:tr>
      <w:tr>
        <w:tc>
          <w:tcPr>
            <w:tcW w:type="dxa" w:w="1247"/>
            <w:shd w:fill="F4F7FB" w:val="clear"/>
          </w:tcPr>
          <w:p>
            <w:r/>
            <w:r>
              <w:rPr>
                <w:rFonts w:ascii="Calibri" w:hAnsi="Calibri" w:eastAsia="Calibri"/>
                <w:b w:val="0"/>
                <w:sz w:val="18"/>
              </w:rPr>
              <w:t>SVC-03</w:t>
            </w:r>
          </w:p>
        </w:tc>
        <w:tc>
          <w:tcPr>
            <w:tcW w:type="dxa" w:w="7143"/>
            <w:shd w:fill="F4F7FB" w:val="clear"/>
          </w:tcPr>
          <w:p>
            <w:r/>
            <w:r>
              <w:rPr>
                <w:rFonts w:ascii="Calibri" w:hAnsi="Calibri" w:eastAsia="Calibri"/>
                <w:b w:val="0"/>
                <w:sz w:val="18"/>
              </w:rPr>
              <w:t>Engagement de délai de prise en compte d’un incident critique et de disponibilité de l’hyperviseur, selon les valeurs fixées par l’acheteur au CCAP.</w:t>
            </w:r>
          </w:p>
        </w:tc>
        <w:tc>
          <w:tcPr>
            <w:tcW w:type="dxa" w:w="1361"/>
            <w:shd w:fill="F4F7FB" w:val="clear"/>
          </w:tcPr>
          <w:p>
            <w:r/>
            <w:r>
              <w:rPr>
                <w:rFonts w:ascii="Calibri" w:hAnsi="Calibri" w:eastAsia="Calibri"/>
                <w:b w:val="0"/>
                <w:sz w:val="18"/>
              </w:rPr>
              <w:t>Impérative</w:t>
            </w:r>
          </w:p>
        </w:tc>
      </w:tr>
      <w:tr>
        <w:tc>
          <w:tcPr>
            <w:tcW w:type="dxa" w:w="1247"/>
          </w:tcPr>
          <w:p>
            <w:r/>
            <w:r>
              <w:rPr>
                <w:rFonts w:ascii="Calibri" w:hAnsi="Calibri" w:eastAsia="Calibri"/>
                <w:b w:val="0"/>
                <w:sz w:val="18"/>
              </w:rPr>
              <w:t>SVC-04</w:t>
            </w:r>
          </w:p>
        </w:tc>
        <w:tc>
          <w:tcPr>
            <w:tcW w:type="dxa" w:w="7143"/>
          </w:tcPr>
          <w:p>
            <w:r/>
            <w:r>
              <w:rPr>
                <w:rFonts w:ascii="Calibri" w:hAnsi="Calibri" w:eastAsia="Calibri"/>
                <w:b w:val="0"/>
                <w:sz w:val="18"/>
              </w:rPr>
              <w:t>Dossier de récolement : plans d’implantation, comptes rendus de recette, matrice de conformité signée, procédure d’exploitation.</w:t>
            </w:r>
          </w:p>
        </w:tc>
        <w:tc>
          <w:tcPr>
            <w:tcW w:type="dxa" w:w="1361"/>
          </w:tcPr>
          <w:p>
            <w:r/>
            <w:r>
              <w:rPr>
                <w:rFonts w:ascii="Calibri" w:hAnsi="Calibri" w:eastAsia="Calibri"/>
                <w:b w:val="0"/>
                <w:sz w:val="18"/>
              </w:rPr>
              <w:t>Impérative</w:t>
            </w:r>
          </w:p>
        </w:tc>
      </w:tr>
    </w:tbl>
    <w:p/>
    <w:p>
      <w:pPr>
        <w:pStyle w:val="Heading2"/>
        <w:spacing w:before="240" w:after="120"/>
      </w:pPr>
      <w:r>
        <w:rPr>
          <w:rFonts w:ascii="Calibri" w:hAnsi="Calibri" w:eastAsia="Calibri"/>
          <w:b/>
          <w:color w:val="0B1F33"/>
          <w:sz w:val="26"/>
        </w:rPr>
        <w:t>2.5 Conditions de mesure de la portée</w:t>
      </w:r>
    </w:p>
    <w:p>
      <w:pPr>
        <w:pStyle w:val="ListBullet"/>
        <w:spacing w:after="60"/>
      </w:pPr>
      <w:r>
        <w:rPr>
          <w:rFonts w:ascii="Calibri" w:hAnsi="Calibri" w:eastAsia="Calibri"/>
          <w:b w:val="0"/>
          <w:sz w:val="22"/>
        </w:rPr>
        <w:t>La portée de 5 km (et de 15 km pour l’option) s’entend en champ libre, drone coopératif en émission Remote ID, sans masque majeur. Le soumissionnaire décrit la méthode de mesure.</w:t>
      </w:r>
    </w:p>
    <w:p>
      <w:pPr>
        <w:pStyle w:val="ListBullet"/>
        <w:spacing w:after="60"/>
      </w:pPr>
      <w:r>
        <w:rPr>
          <w:rFonts w:ascii="Calibri" w:hAnsi="Calibri" w:eastAsia="Calibri"/>
          <w:b w:val="0"/>
          <w:sz w:val="22"/>
        </w:rPr>
        <w:t>En site réel, la portée utile dépend du relief, des façades et du bruit radio. Le CCTP n’exige pas 5 km garantis dans une cour intérieure. Il exige un levé de site et une prévision de couverture avant pose.</w:t>
      </w:r>
    </w:p>
    <w:p>
      <w:pPr>
        <w:pStyle w:val="ListBullet"/>
        <w:spacing w:after="60"/>
      </w:pPr>
      <w:r>
        <w:rPr>
          <w:rFonts w:ascii="Calibri" w:hAnsi="Calibri" w:eastAsia="Calibri"/>
          <w:b w:val="0"/>
          <w:sz w:val="22"/>
        </w:rPr>
        <w:t>Le taux de détection, la latence et le taux de fausses alertes sont mesurés selon le protocole de recette de la partie 4, pas selon une plaquette seule.</w:t>
      </w:r>
    </w:p>
    <w:p>
      <w:pPr>
        <w:pStyle w:val="Heading2"/>
        <w:spacing w:before="240" w:after="120"/>
      </w:pPr>
      <w:r>
        <w:rPr>
          <w:rFonts w:ascii="Calibri" w:hAnsi="Calibri" w:eastAsia="Calibri"/>
          <w:b/>
          <w:color w:val="0B1F33"/>
          <w:sz w:val="26"/>
        </w:rPr>
        <w:t>2.6 Cybersécurité et données</w:t>
      </w:r>
    </w:p>
    <w:p>
      <w:pPr>
        <w:pStyle w:val="ListBullet"/>
        <w:spacing w:after="60"/>
      </w:pPr>
      <w:r>
        <w:rPr>
          <w:rFonts w:ascii="Calibri" w:hAnsi="Calibri" w:eastAsia="Calibri"/>
          <w:b w:val="0"/>
          <w:sz w:val="22"/>
        </w:rPr>
        <w:t>Flux d’administration chiffrés. Comptes nominatifs. Fin d’accès effective à la révocation.</w:t>
      </w:r>
    </w:p>
    <w:p>
      <w:pPr>
        <w:pStyle w:val="ListBullet"/>
        <w:spacing w:after="60"/>
      </w:pPr>
      <w:r>
        <w:rPr>
          <w:rFonts w:ascii="Calibri" w:hAnsi="Calibri" w:eastAsia="Calibri"/>
          <w:b w:val="0"/>
          <w:sz w:val="22"/>
        </w:rPr>
        <w:t>Limitation des tentatives de connexion.</w:t>
      </w:r>
    </w:p>
    <w:p>
      <w:pPr>
        <w:pStyle w:val="ListBullet"/>
        <w:spacing w:after="60"/>
      </w:pPr>
      <w:r>
        <w:rPr>
          <w:rFonts w:ascii="Calibri" w:hAnsi="Calibri" w:eastAsia="Calibri"/>
          <w:b w:val="0"/>
          <w:sz w:val="22"/>
        </w:rPr>
        <w:t>Durée de conservation proposée par l’acheteur : [12 ou 24 mois — À COMPLÉTER], sauf obligation sectorielle plus longue, puis effacement.</w:t>
      </w:r>
    </w:p>
    <w:p>
      <w:pPr>
        <w:pStyle w:val="ListBullet"/>
        <w:spacing w:after="60"/>
      </w:pPr>
      <w:r>
        <w:rPr>
          <w:rFonts w:ascii="Calibri" w:hAnsi="Calibri" w:eastAsia="Calibri"/>
          <w:b w:val="0"/>
          <w:sz w:val="22"/>
        </w:rPr>
        <w:t>Pas de publication des identifiants d’exploitant ou des positions de télépilotes hors du cercle d’exploitation.</w:t>
      </w:r>
    </w:p>
    <w:p>
      <w:pPr>
        <w:pStyle w:val="ListBullet"/>
        <w:spacing w:after="60"/>
      </w:pPr>
      <w:r>
        <w:rPr>
          <w:rFonts w:ascii="Calibri" w:hAnsi="Calibri" w:eastAsia="Calibri"/>
          <w:b w:val="0"/>
          <w:sz w:val="22"/>
        </w:rPr>
        <w:t>Le titulaire n’interroge pas lui-même AlphaTango pour identifier une personne. Le dossier est transmis par l’acheteur aux services compétents.</w:t>
      </w:r>
    </w:p>
    <w:p>
      <w:pPr>
        <w:pStyle w:val="ListBullet"/>
        <w:spacing w:after="60"/>
      </w:pPr>
      <w:r>
        <w:rPr>
          <w:rFonts w:ascii="Calibri" w:hAnsi="Calibri" w:eastAsia="Calibri"/>
          <w:b w:val="0"/>
          <w:sz w:val="22"/>
        </w:rPr>
        <w:t>Sous-traitance soumise à acceptation. Liste des sous-traitants et des lieux d’hébergement fournie à l’offre.</w:t>
      </w:r>
    </w:p>
    <w:p>
      <w:pPr>
        <w:pStyle w:val="Heading2"/>
        <w:spacing w:before="240" w:after="120"/>
      </w:pPr>
      <w:r>
        <w:rPr>
          <w:rFonts w:ascii="Calibri" w:hAnsi="Calibri" w:eastAsia="Calibri"/>
          <w:b/>
          <w:color w:val="0B1F33"/>
          <w:sz w:val="26"/>
        </w:rPr>
        <w:t>2.7 Livrables</w:t>
      </w:r>
    </w:p>
    <w:p>
      <w:pPr>
        <w:pStyle w:val="ListBullet"/>
        <w:spacing w:after="60"/>
      </w:pPr>
      <w:r>
        <w:rPr>
          <w:rFonts w:ascii="Calibri" w:hAnsi="Calibri" w:eastAsia="Calibri"/>
          <w:b w:val="0"/>
          <w:sz w:val="22"/>
        </w:rPr>
        <w:t>Plan d’implantation et prévision de couverture, avant commande ferme des emplacements.</w:t>
      </w:r>
    </w:p>
    <w:p>
      <w:pPr>
        <w:pStyle w:val="ListBullet"/>
        <w:spacing w:after="60"/>
      </w:pPr>
      <w:r>
        <w:rPr>
          <w:rFonts w:ascii="Calibri" w:hAnsi="Calibri" w:eastAsia="Calibri"/>
          <w:b w:val="0"/>
          <w:sz w:val="22"/>
        </w:rPr>
        <w:t>Capteurs installés, configurés, raccordés à l’hyperviseur et au VMS si l’exigence DET-15 est retenue.</w:t>
      </w:r>
    </w:p>
    <w:p>
      <w:pPr>
        <w:pStyle w:val="ListBullet"/>
        <w:spacing w:after="60"/>
      </w:pPr>
      <w:r>
        <w:rPr>
          <w:rFonts w:ascii="Calibri" w:hAnsi="Calibri" w:eastAsia="Calibri"/>
          <w:b w:val="0"/>
          <w:sz w:val="22"/>
        </w:rPr>
        <w:t>Hyperviseur en production sur l’infrastructure désignée, comptes d’administration remis à l’acheteur.</w:t>
      </w:r>
    </w:p>
    <w:p>
      <w:pPr>
        <w:pStyle w:val="ListBullet"/>
        <w:spacing w:after="60"/>
      </w:pPr>
      <w:r>
        <w:rPr>
          <w:rFonts w:ascii="Calibri" w:hAnsi="Calibri" w:eastAsia="Calibri"/>
          <w:b w:val="0"/>
          <w:sz w:val="22"/>
        </w:rPr>
        <w:t>Dossier d’exploitation en français, formation réalisée, feuilles d’émargement.</w:t>
      </w:r>
    </w:p>
    <w:p>
      <w:pPr>
        <w:pStyle w:val="ListBullet"/>
        <w:spacing w:after="60"/>
      </w:pPr>
      <w:r>
        <w:rPr>
          <w:rFonts w:ascii="Calibri" w:hAnsi="Calibri" w:eastAsia="Calibri"/>
          <w:b w:val="0"/>
          <w:sz w:val="22"/>
        </w:rPr>
        <w:t>Matrice de conformité et procès-verbaux de recette signés.</w:t>
      </w:r>
    </w:p>
    <w:p>
      <w:pPr>
        <w:pStyle w:val="ListBullet"/>
        <w:spacing w:after="60"/>
      </w:pPr>
      <w:r>
        <w:rPr>
          <w:rFonts w:ascii="Calibri" w:hAnsi="Calibri" w:eastAsia="Calibri"/>
          <w:b w:val="0"/>
          <w:sz w:val="22"/>
        </w:rPr>
        <w:t>Procédure d’export et de réversibilité.</w:t>
      </w:r>
    </w:p>
    <w:p>
      <w:pPr>
        <w:pStyle w:val="Heading1"/>
        <w:spacing w:before="320" w:after="120"/>
      </w:pPr>
      <w:r>
        <w:rPr>
          <w:rFonts w:ascii="Calibri" w:hAnsi="Calibri" w:eastAsia="Calibri"/>
          <w:b/>
          <w:color w:val="0B1F33"/>
          <w:sz w:val="32"/>
        </w:rPr>
        <w:t>3. Cadre de mémoire technique</w:t>
      </w:r>
    </w:p>
    <w:p>
      <w:pPr>
        <w:spacing w:after="160" w:before="0" w:line="259" w:lineRule="auto"/>
      </w:pPr>
      <w:r>
        <w:rPr>
          <w:rFonts w:ascii="Calibri" w:hAnsi="Calibri" w:eastAsia="Calibri"/>
          <w:b w:val="0"/>
          <w:sz w:val="22"/>
        </w:rPr>
        <w:t>Le soumissionnaire reprend ce tableau dans son offre. Une ligne vide sur une exigence impérative n’est pas une conformité.</w:t>
      </w:r>
    </w:p>
    <w:tbl>
      <w:tblPr>
        <w:tblStyle w:val="TableGrid"/>
        <w:tblW w:type="auto" w:w="0"/>
        <w:tblLayout w:type="autofit"/>
        <w:tblLook w:firstColumn="1" w:firstRow="1" w:lastColumn="0" w:lastRow="0" w:noHBand="0" w:noVBand="1" w:val="04A0"/>
      </w:tblPr>
      <w:tblGrid>
        <w:gridCol w:w="2466"/>
        <w:gridCol w:w="2466"/>
        <w:gridCol w:w="2466"/>
        <w:gridCol w:w="2466"/>
      </w:tblGrid>
      <w:tr>
        <w:tc>
          <w:tcPr>
            <w:tcW w:type="dxa" w:w="1247"/>
            <w:shd w:fill="1F5C99" w:val="clear"/>
          </w:tcPr>
          <w:p>
            <w:r/>
            <w:r>
              <w:rPr>
                <w:rFonts w:ascii="Calibri" w:hAnsi="Calibri" w:eastAsia="Calibri"/>
                <w:b/>
                <w:color w:val="FFFFFF"/>
                <w:sz w:val="18"/>
              </w:rPr>
              <w:t>ID</w:t>
            </w:r>
          </w:p>
        </w:tc>
        <w:tc>
          <w:tcPr>
            <w:tcW w:type="dxa" w:w="3118"/>
            <w:shd w:fill="1F5C99" w:val="clear"/>
          </w:tcPr>
          <w:p>
            <w:r/>
            <w:r>
              <w:rPr>
                <w:rFonts w:ascii="Calibri" w:hAnsi="Calibri" w:eastAsia="Calibri"/>
                <w:b/>
                <w:color w:val="FFFFFF"/>
                <w:sz w:val="18"/>
              </w:rPr>
              <w:t>Position du candidat</w:t>
            </w:r>
          </w:p>
        </w:tc>
        <w:tc>
          <w:tcPr>
            <w:tcW w:type="dxa" w:w="3118"/>
            <w:shd w:fill="1F5C99" w:val="clear"/>
          </w:tcPr>
          <w:p>
            <w:r/>
            <w:r>
              <w:rPr>
                <w:rFonts w:ascii="Calibri" w:hAnsi="Calibri" w:eastAsia="Calibri"/>
                <w:b/>
                <w:color w:val="FFFFFF"/>
                <w:sz w:val="18"/>
              </w:rPr>
              <w:t>Preuve jointe (nom du fichier)</w:t>
            </w:r>
          </w:p>
        </w:tc>
        <w:tc>
          <w:tcPr>
            <w:tcW w:type="dxa" w:w="2268"/>
            <w:shd w:fill="1F5C99" w:val="clear"/>
          </w:tcPr>
          <w:p>
            <w:r/>
            <w:r>
              <w:rPr>
                <w:rFonts w:ascii="Calibri" w:hAnsi="Calibri" w:eastAsia="Calibri"/>
                <w:b/>
                <w:color w:val="FFFFFF"/>
                <w:sz w:val="18"/>
              </w:rPr>
              <w:t>Écart éventuel</w:t>
            </w:r>
          </w:p>
        </w:tc>
      </w:tr>
      <w:tr>
        <w:tc>
          <w:tcPr>
            <w:tcW w:type="dxa" w:w="1247"/>
          </w:tcPr>
          <w:p>
            <w:r/>
            <w:r>
              <w:rPr>
                <w:rFonts w:ascii="Calibri" w:hAnsi="Calibri" w:eastAsia="Calibri"/>
                <w:b w:val="0"/>
                <w:sz w:val="18"/>
              </w:rPr>
              <w:t>DET-01</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DET-02</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DET-03</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DET-04</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DET-05</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DET-06</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DET-07</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DET-08</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DET-09</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DET-10</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DET-11</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DET-12</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DET-13</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DET-14</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DET-15</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DET-16</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DET-17</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DET-18</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DET-19</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MAT-01</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MAT-02</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MAT-03</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MAT-04</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MAT-05</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MAT-06</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MAT-07</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MAT-08</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MAT-09</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HUB-01</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HUB-02</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HUB-03</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HUB-04</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HUB-05</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HUB-06</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HUB-07</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HUB-08</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HUB-09</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HUB-10</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HUB-11</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HUB-12</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HUB-13</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SEC-01</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SEC-02</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SEC-03</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SEC-04</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SVC-01</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SVC-02</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r>
        <w:tc>
          <w:tcPr>
            <w:tcW w:type="dxa" w:w="1247"/>
            <w:shd w:fill="F4F7FB" w:val="clear"/>
          </w:tcPr>
          <w:p>
            <w:r/>
            <w:r>
              <w:rPr>
                <w:rFonts w:ascii="Calibri" w:hAnsi="Calibri" w:eastAsia="Calibri"/>
                <w:b w:val="0"/>
                <w:sz w:val="18"/>
              </w:rPr>
              <w:t>SVC-03</w:t>
            </w:r>
          </w:p>
        </w:tc>
        <w:tc>
          <w:tcPr>
            <w:tcW w:type="dxa" w:w="3118"/>
            <w:shd w:fill="F4F7FB" w:val="clear"/>
          </w:tcPr>
          <w:p>
            <w:r/>
            <w:r>
              <w:rPr>
                <w:rFonts w:ascii="Calibri" w:hAnsi="Calibri" w:eastAsia="Calibri"/>
                <w:b w:val="0"/>
                <w:sz w:val="18"/>
              </w:rPr>
              <w:t>Conforme / Non conforme / Équivalent</w:t>
            </w:r>
          </w:p>
        </w:tc>
        <w:tc>
          <w:tcPr>
            <w:tcW w:type="dxa" w:w="3118"/>
            <w:shd w:fill="F4F7FB" w:val="clear"/>
          </w:tcPr>
          <w:p>
            <w:r/>
            <w:r>
              <w:rPr>
                <w:rFonts w:ascii="Calibri" w:hAnsi="Calibri" w:eastAsia="Calibri"/>
                <w:b w:val="0"/>
                <w:sz w:val="18"/>
              </w:rPr>
            </w:r>
          </w:p>
        </w:tc>
        <w:tc>
          <w:tcPr>
            <w:tcW w:type="dxa" w:w="2268"/>
            <w:shd w:fill="F4F7FB" w:val="clear"/>
          </w:tcPr>
          <w:p>
            <w:r/>
            <w:r>
              <w:rPr>
                <w:rFonts w:ascii="Calibri" w:hAnsi="Calibri" w:eastAsia="Calibri"/>
                <w:b w:val="0"/>
                <w:sz w:val="18"/>
              </w:rPr>
            </w:r>
          </w:p>
        </w:tc>
      </w:tr>
      <w:tr>
        <w:tc>
          <w:tcPr>
            <w:tcW w:type="dxa" w:w="1247"/>
          </w:tcPr>
          <w:p>
            <w:r/>
            <w:r>
              <w:rPr>
                <w:rFonts w:ascii="Calibri" w:hAnsi="Calibri" w:eastAsia="Calibri"/>
                <w:b w:val="0"/>
                <w:sz w:val="18"/>
              </w:rPr>
              <w:t>SVC-04</w:t>
            </w:r>
          </w:p>
        </w:tc>
        <w:tc>
          <w:tcPr>
            <w:tcW w:type="dxa" w:w="3118"/>
          </w:tcPr>
          <w:p>
            <w:r/>
            <w:r>
              <w:rPr>
                <w:rFonts w:ascii="Calibri" w:hAnsi="Calibri" w:eastAsia="Calibri"/>
                <w:b w:val="0"/>
                <w:sz w:val="18"/>
              </w:rPr>
              <w:t>Conforme / Non conforme / Équivalent</w:t>
            </w:r>
          </w:p>
        </w:tc>
        <w:tc>
          <w:tcPr>
            <w:tcW w:type="dxa" w:w="3118"/>
          </w:tcPr>
          <w:p>
            <w:r/>
            <w:r>
              <w:rPr>
                <w:rFonts w:ascii="Calibri" w:hAnsi="Calibri" w:eastAsia="Calibri"/>
                <w:b w:val="0"/>
                <w:sz w:val="18"/>
              </w:rPr>
            </w:r>
          </w:p>
        </w:tc>
        <w:tc>
          <w:tcPr>
            <w:tcW w:type="dxa" w:w="2268"/>
          </w:tcPr>
          <w:p>
            <w:r/>
            <w:r>
              <w:rPr>
                <w:rFonts w:ascii="Calibri" w:hAnsi="Calibri" w:eastAsia="Calibri"/>
                <w:b w:val="0"/>
                <w:sz w:val="18"/>
              </w:rPr>
            </w:r>
          </w:p>
        </w:tc>
      </w:tr>
    </w:tbl>
    <w:p/>
    <w:p>
      <w:pPr>
        <w:spacing w:after="160" w:before="0" w:line="259" w:lineRule="auto"/>
      </w:pPr>
      <w:r>
        <w:rPr>
          <w:rFonts w:ascii="Calibri" w:hAnsi="Calibri" w:eastAsia="Calibri"/>
          <w:b w:val="0"/>
          <w:sz w:val="22"/>
        </w:rPr>
        <w:t>Le mémoire répond en outre, en vingt pages maximum hors annexes d’essais, aux points suivants.</w:t>
      </w:r>
    </w:p>
    <w:p>
      <w:pPr>
        <w:pStyle w:val="ListBullet"/>
        <w:spacing w:after="60"/>
      </w:pPr>
      <w:r>
        <w:rPr>
          <w:rFonts w:ascii="Calibri" w:hAnsi="Calibri" w:eastAsia="Calibri"/>
          <w:b w:val="0"/>
          <w:sz w:val="22"/>
        </w:rPr>
        <w:t>Architecture proposée pour les [N] capteurs et les [S] sites, avec schéma de flux.</w:t>
      </w:r>
    </w:p>
    <w:p>
      <w:pPr>
        <w:pStyle w:val="ListBullet"/>
        <w:spacing w:after="60"/>
      </w:pPr>
      <w:r>
        <w:rPr>
          <w:rFonts w:ascii="Calibri" w:hAnsi="Calibri" w:eastAsia="Calibri"/>
          <w:b w:val="0"/>
          <w:sz w:val="22"/>
        </w:rPr>
        <w:t>Hypothèses de couverture site par site, et ce qui n’est pas garanti.</w:t>
      </w:r>
    </w:p>
    <w:p>
      <w:pPr>
        <w:pStyle w:val="ListBullet"/>
        <w:spacing w:after="60"/>
      </w:pPr>
      <w:r>
        <w:rPr>
          <w:rFonts w:ascii="Calibri" w:hAnsi="Calibri" w:eastAsia="Calibri"/>
          <w:b w:val="0"/>
          <w:sz w:val="22"/>
        </w:rPr>
        <w:t>Comportement si le drone est silencieux en radio ou modifié pour ne plus émettre.</w:t>
      </w:r>
    </w:p>
    <w:p>
      <w:pPr>
        <w:pStyle w:val="ListBullet"/>
        <w:spacing w:after="60"/>
      </w:pPr>
      <w:r>
        <w:rPr>
          <w:rFonts w:ascii="Calibri" w:hAnsi="Calibri" w:eastAsia="Calibri"/>
          <w:b w:val="0"/>
          <w:sz w:val="22"/>
        </w:rPr>
        <w:t>Organisation de la maintenance, versions logicielles, rythme de mise à jour de la base de modèles.</w:t>
      </w:r>
    </w:p>
    <w:p>
      <w:pPr>
        <w:pStyle w:val="ListBullet"/>
        <w:spacing w:after="60"/>
      </w:pPr>
      <w:r>
        <w:rPr>
          <w:rFonts w:ascii="Calibri" w:hAnsi="Calibri" w:eastAsia="Calibri"/>
          <w:b w:val="0"/>
          <w:sz w:val="22"/>
        </w:rPr>
        <w:t>Pays de conception, de développement logiciel et de fabrication de chaque sous-ensemble.</w:t>
      </w:r>
    </w:p>
    <w:p>
      <w:pPr>
        <w:pStyle w:val="ListBullet"/>
        <w:spacing w:after="60"/>
      </w:pPr>
      <w:r>
        <w:rPr>
          <w:rFonts w:ascii="Calibri" w:hAnsi="Calibri" w:eastAsia="Calibri"/>
          <w:b w:val="0"/>
          <w:sz w:val="22"/>
        </w:rPr>
        <w:t>Plan de formation et effectifs du titulaire qui interviendront sur site.</w:t>
      </w:r>
    </w:p>
    <w:p>
      <w:pPr>
        <w:pStyle w:val="Heading1"/>
        <w:spacing w:before="320" w:after="120"/>
      </w:pPr>
      <w:r>
        <w:rPr>
          <w:rFonts w:ascii="Calibri" w:hAnsi="Calibri" w:eastAsia="Calibri"/>
          <w:b/>
          <w:color w:val="0B1F33"/>
          <w:sz w:val="32"/>
        </w:rPr>
        <w:t>4. Protocole de recette</w:t>
      </w:r>
    </w:p>
    <w:p>
      <w:pPr>
        <w:spacing w:after="160" w:before="0" w:line="259" w:lineRule="auto"/>
      </w:pPr>
      <w:r>
        <w:rPr>
          <w:rFonts w:ascii="Calibri" w:hAnsi="Calibri" w:eastAsia="Calibri"/>
          <w:b w:val="0"/>
          <w:sz w:val="22"/>
        </w:rPr>
        <w:t>La recette conditionne le service fait. Elle se tient sur au moins un site réel de l’acheteur, avec un protocole écrit partagé avant les vols. Elle ne remplace pas un POC de consultation si l’acheteur en a prévu un, dans des conditions égales pour tous les candidats admis à déposer.</w:t>
      </w:r>
    </w:p>
    <w:tbl>
      <w:tblPr>
        <w:tblStyle w:val="TableGrid"/>
        <w:tblW w:type="auto" w:w="0"/>
        <w:tblLayout w:type="autofit"/>
        <w:tblLook w:firstColumn="1" w:firstRow="1" w:lastColumn="0" w:lastRow="0" w:noHBand="0" w:noVBand="1" w:val="04A0"/>
      </w:tblPr>
      <w:tblGrid>
        <w:gridCol w:w="4933"/>
        <w:gridCol w:w="4933"/>
      </w:tblGrid>
      <w:tr>
        <w:tc>
          <w:tcPr>
            <w:tcW w:type="dxa" w:w="4252"/>
            <w:shd w:fill="1F5C99" w:val="clear"/>
          </w:tcPr>
          <w:p>
            <w:r/>
            <w:r>
              <w:rPr>
                <w:rFonts w:ascii="Calibri" w:hAnsi="Calibri" w:eastAsia="Calibri"/>
                <w:b/>
                <w:color w:val="FFFFFF"/>
                <w:sz w:val="18"/>
              </w:rPr>
              <w:t>Essai</w:t>
            </w:r>
          </w:p>
        </w:tc>
        <w:tc>
          <w:tcPr>
            <w:tcW w:type="dxa" w:w="5386"/>
            <w:shd w:fill="1F5C99" w:val="clear"/>
          </w:tcPr>
          <w:p>
            <w:r/>
            <w:r>
              <w:rPr>
                <w:rFonts w:ascii="Calibri" w:hAnsi="Calibri" w:eastAsia="Calibri"/>
                <w:b/>
                <w:color w:val="FFFFFF"/>
                <w:sz w:val="18"/>
              </w:rPr>
              <w:t>Condition de succès</w:t>
            </w:r>
          </w:p>
        </w:tc>
      </w:tr>
      <w:tr>
        <w:tc>
          <w:tcPr>
            <w:tcW w:type="dxa" w:w="4252"/>
          </w:tcPr>
          <w:p>
            <w:r/>
            <w:r>
              <w:rPr>
                <w:rFonts w:ascii="Calibri" w:hAnsi="Calibri" w:eastAsia="Calibri"/>
                <w:b w:val="0"/>
                <w:sz w:val="18"/>
              </w:rPr>
              <w:t>E1 — Drone coopératif de classe C1 ou C2, Remote ID actif</w:t>
            </w:r>
          </w:p>
        </w:tc>
        <w:tc>
          <w:tcPr>
            <w:tcW w:type="dxa" w:w="5386"/>
          </w:tcPr>
          <w:p>
            <w:r/>
            <w:r>
              <w:rPr>
                <w:rFonts w:ascii="Calibri" w:hAnsi="Calibri" w:eastAsia="Calibri"/>
                <w:b w:val="0"/>
                <w:sz w:val="18"/>
              </w:rPr>
              <w:t>Détection, position du drone, identifiant lu, alerte dans l’hyperviseur dans le délai annoncé au mémoire. Rapport PDF généré et non modifiable sans rupture de la protection.</w:t>
            </w:r>
          </w:p>
        </w:tc>
      </w:tr>
      <w:tr>
        <w:tc>
          <w:tcPr>
            <w:tcW w:type="dxa" w:w="4252"/>
            <w:shd w:fill="F4F7FB" w:val="clear"/>
          </w:tcPr>
          <w:p>
            <w:r/>
            <w:r>
              <w:rPr>
                <w:rFonts w:ascii="Calibri" w:hAnsi="Calibri" w:eastAsia="Calibri"/>
                <w:b w:val="0"/>
                <w:sz w:val="18"/>
              </w:rPr>
              <w:t>E2 — Même drone vu par deux capteurs si le site en compte au moins deux</w:t>
            </w:r>
          </w:p>
        </w:tc>
        <w:tc>
          <w:tcPr>
            <w:tcW w:type="dxa" w:w="5386"/>
            <w:shd w:fill="F4F7FB" w:val="clear"/>
          </w:tcPr>
          <w:p>
            <w:r/>
            <w:r>
              <w:rPr>
                <w:rFonts w:ascii="Calibri" w:hAnsi="Calibri" w:eastAsia="Calibri"/>
                <w:b w:val="0"/>
                <w:sz w:val="18"/>
              </w:rPr>
              <w:t>Une seule piste opérationnelle, pas deux alertes contradictoires.</w:t>
            </w:r>
          </w:p>
        </w:tc>
      </w:tr>
      <w:tr>
        <w:tc>
          <w:tcPr>
            <w:tcW w:type="dxa" w:w="4252"/>
          </w:tcPr>
          <w:p>
            <w:r/>
            <w:r>
              <w:rPr>
                <w:rFonts w:ascii="Calibri" w:hAnsi="Calibri" w:eastAsia="Calibri"/>
                <w:b w:val="0"/>
                <w:sz w:val="18"/>
              </w:rPr>
              <w:t>E3 — Coupure de la liaison Ethernet</w:t>
            </w:r>
          </w:p>
        </w:tc>
        <w:tc>
          <w:tcPr>
            <w:tcW w:type="dxa" w:w="5386"/>
          </w:tcPr>
          <w:p>
            <w:r/>
            <w:r>
              <w:rPr>
                <w:rFonts w:ascii="Calibri" w:hAnsi="Calibri" w:eastAsia="Calibri"/>
                <w:b w:val="0"/>
                <w:sz w:val="18"/>
              </w:rPr>
              <w:t>Bascule vers la liaison mobile sans perte définitive de l’événement, dans les conditions décrites au mémoire.</w:t>
            </w:r>
          </w:p>
        </w:tc>
      </w:tr>
      <w:tr>
        <w:tc>
          <w:tcPr>
            <w:tcW w:type="dxa" w:w="4252"/>
            <w:shd w:fill="F4F7FB" w:val="clear"/>
          </w:tcPr>
          <w:p>
            <w:r/>
            <w:r>
              <w:rPr>
                <w:rFonts w:ascii="Calibri" w:hAnsi="Calibri" w:eastAsia="Calibri"/>
                <w:b w:val="0"/>
                <w:sz w:val="18"/>
              </w:rPr>
              <w:t>E4 — Coupure d’alimentation secteur</w:t>
            </w:r>
          </w:p>
        </w:tc>
        <w:tc>
          <w:tcPr>
            <w:tcW w:type="dxa" w:w="5386"/>
            <w:shd w:fill="F4F7FB" w:val="clear"/>
          </w:tcPr>
          <w:p>
            <w:r/>
            <w:r>
              <w:rPr>
                <w:rFonts w:ascii="Calibri" w:hAnsi="Calibri" w:eastAsia="Calibri"/>
                <w:b w:val="0"/>
                <w:sz w:val="18"/>
              </w:rPr>
              <w:t>Tenue sur batterie au moins égale à l’autonomie exigée, ou essai documenté en atelier si le site ne permet pas une coupure de 5 heures.</w:t>
            </w:r>
          </w:p>
        </w:tc>
      </w:tr>
      <w:tr>
        <w:tc>
          <w:tcPr>
            <w:tcW w:type="dxa" w:w="4252"/>
          </w:tcPr>
          <w:p>
            <w:r/>
            <w:r>
              <w:rPr>
                <w:rFonts w:ascii="Calibri" w:hAnsi="Calibri" w:eastAsia="Calibri"/>
                <w:b w:val="0"/>
                <w:sz w:val="18"/>
              </w:rPr>
              <w:t>E5 — Passage d’oiseaux ou trafic sans Remote ID</w:t>
            </w:r>
          </w:p>
        </w:tc>
        <w:tc>
          <w:tcPr>
            <w:tcW w:type="dxa" w:w="5386"/>
          </w:tcPr>
          <w:p>
            <w:r/>
            <w:r>
              <w:rPr>
                <w:rFonts w:ascii="Calibri" w:hAnsi="Calibri" w:eastAsia="Calibri"/>
                <w:b w:val="0"/>
                <w:sz w:val="18"/>
              </w:rPr>
              <w:t>Pas d’alerte coopérative Remote ID.</w:t>
            </w:r>
          </w:p>
        </w:tc>
      </w:tr>
      <w:tr>
        <w:tc>
          <w:tcPr>
            <w:tcW w:type="dxa" w:w="4252"/>
            <w:shd w:fill="F4F7FB" w:val="clear"/>
          </w:tcPr>
          <w:p>
            <w:r/>
            <w:r>
              <w:rPr>
                <w:rFonts w:ascii="Calibri" w:hAnsi="Calibri" w:eastAsia="Calibri"/>
                <w:b w:val="0"/>
                <w:sz w:val="18"/>
              </w:rPr>
              <w:t>E6 — Drone du commerce sans Remote ID, si l’acheteur le fournit</w:t>
            </w:r>
          </w:p>
        </w:tc>
        <w:tc>
          <w:tcPr>
            <w:tcW w:type="dxa" w:w="5386"/>
            <w:shd w:fill="F4F7FB" w:val="clear"/>
          </w:tcPr>
          <w:p>
            <w:r/>
            <w:r>
              <w:rPr>
                <w:rFonts w:ascii="Calibri" w:hAnsi="Calibri" w:eastAsia="Calibri"/>
                <w:b w:val="0"/>
                <w:sz w:val="18"/>
              </w:rPr>
              <w:t>Détection radio non coopérative ou réserve motivée du titulaire, conformément à DET-11. Cet essai ne peut pas exiger la position du télépilote.</w:t>
            </w:r>
          </w:p>
        </w:tc>
      </w:tr>
      <w:tr>
        <w:tc>
          <w:tcPr>
            <w:tcW w:type="dxa" w:w="4252"/>
          </w:tcPr>
          <w:p>
            <w:r/>
            <w:r>
              <w:rPr>
                <w:rFonts w:ascii="Calibri" w:hAnsi="Calibri" w:eastAsia="Calibri"/>
                <w:b w:val="0"/>
                <w:sz w:val="18"/>
              </w:rPr>
              <w:t>E7 — Compte sans droit d’administration</w:t>
            </w:r>
          </w:p>
        </w:tc>
        <w:tc>
          <w:tcPr>
            <w:tcW w:type="dxa" w:w="5386"/>
          </w:tcPr>
          <w:p>
            <w:r/>
            <w:r>
              <w:rPr>
                <w:rFonts w:ascii="Calibri" w:hAnsi="Calibri" w:eastAsia="Calibri"/>
                <w:b w:val="0"/>
                <w:sz w:val="18"/>
              </w:rPr>
              <w:t>Impossible de modifier la configuration globale ou d’exporter hors de son périmètre.</w:t>
            </w:r>
          </w:p>
        </w:tc>
      </w:tr>
      <w:tr>
        <w:tc>
          <w:tcPr>
            <w:tcW w:type="dxa" w:w="4252"/>
            <w:shd w:fill="F4F7FB" w:val="clear"/>
          </w:tcPr>
          <w:p>
            <w:r/>
            <w:r>
              <w:rPr>
                <w:rFonts w:ascii="Calibri" w:hAnsi="Calibri" w:eastAsia="Calibri"/>
                <w:b w:val="0"/>
                <w:sz w:val="18"/>
              </w:rPr>
              <w:t>E8 — Fonctionnement carte hors ligne</w:t>
            </w:r>
          </w:p>
        </w:tc>
        <w:tc>
          <w:tcPr>
            <w:tcW w:type="dxa" w:w="5386"/>
            <w:shd w:fill="F4F7FB" w:val="clear"/>
          </w:tcPr>
          <w:p>
            <w:r/>
            <w:r>
              <w:rPr>
                <w:rFonts w:ascii="Calibri" w:hAnsi="Calibri" w:eastAsia="Calibri"/>
                <w:b w:val="0"/>
                <w:sz w:val="18"/>
              </w:rPr>
              <w:t>La supervision reste lisible sans accès Internet, sur le fond de carte prévu.</w:t>
            </w:r>
          </w:p>
        </w:tc>
      </w:tr>
      <w:tr>
        <w:tc>
          <w:tcPr>
            <w:tcW w:type="dxa" w:w="4252"/>
          </w:tcPr>
          <w:p>
            <w:r/>
            <w:r>
              <w:rPr>
                <w:rFonts w:ascii="Calibri" w:hAnsi="Calibri" w:eastAsia="Calibri"/>
                <w:b w:val="0"/>
                <w:sz w:val="18"/>
              </w:rPr>
              <w:t>E9 — Options affermies seulement</w:t>
            </w:r>
          </w:p>
        </w:tc>
        <w:tc>
          <w:tcPr>
            <w:tcW w:type="dxa" w:w="5386"/>
          </w:tcPr>
          <w:p>
            <w:r/>
            <w:r>
              <w:rPr>
                <w:rFonts w:ascii="Calibri" w:hAnsi="Calibri" w:eastAsia="Calibri"/>
                <w:b w:val="0"/>
                <w:sz w:val="18"/>
              </w:rPr>
              <w:t>ADS-B, SAPIENT, anti-leurrage, PoE, antennes déportées ou affichage DJI : essai limité à la tranche commandée.</w:t>
            </w:r>
          </w:p>
        </w:tc>
      </w:tr>
    </w:tbl>
    <w:p/>
    <w:p>
      <w:pPr>
        <w:spacing w:after="160" w:before="0" w:line="259" w:lineRule="auto"/>
      </w:pPr>
      <w:r>
        <w:rPr>
          <w:rFonts w:ascii="Calibri" w:hAnsi="Calibri" w:eastAsia="Calibri"/>
          <w:b w:val="0"/>
          <w:sz w:val="22"/>
        </w:rPr>
        <w:t>Un échec sur E1, E5, E7 ou E8 bloque la réception. L’acheteur fixe au CCAP le délai de reprise des réserves : [À COMPLÉTER] jours. Les essais E2 à E4 et E6 ouvrent des réserves si le mémoire avait annoncé le résultat et qu’il n’est pas tenu.</w:t>
      </w:r>
    </w:p>
    <w:p>
      <w:pPr>
        <w:pStyle w:val="Heading1"/>
        <w:spacing w:before="320" w:after="120"/>
      </w:pPr>
      <w:r>
        <w:rPr>
          <w:rFonts w:ascii="Calibri" w:hAnsi="Calibri" w:eastAsia="Calibri"/>
          <w:b/>
          <w:color w:val="0B1F33"/>
          <w:sz w:val="32"/>
        </w:rPr>
        <w:t>5. Bordereau des prix unitaires — structure vierge</w:t>
      </w:r>
    </w:p>
    <w:p>
      <w:pPr>
        <w:spacing w:after="160" w:before="0" w:line="259" w:lineRule="auto"/>
      </w:pPr>
      <w:r>
        <w:rPr>
          <w:rFonts w:ascii="Calibri" w:hAnsi="Calibri" w:eastAsia="Calibri"/>
          <w:b w:val="0"/>
          <w:sz w:val="22"/>
        </w:rPr>
        <w:t>Aucun prix unitaire n’est suggéré. Le soumissionnaire remplit les cellules. Les quantités entre crochets sont celles de l’acheteur. Les options non affermies ne sont pas additionnées au montant de la tranche ferme pour le classement, sauf décision contraire écrite dans le règlement de la consultation.</w:t>
      </w:r>
    </w:p>
    <w:tbl>
      <w:tblPr>
        <w:tblStyle w:val="TableGrid"/>
        <w:tblW w:type="auto" w:w="0"/>
        <w:tblLayout w:type="autofit"/>
        <w:tblLook w:firstColumn="1" w:firstRow="1" w:lastColumn="0" w:lastRow="0" w:noHBand="0" w:noVBand="1" w:val="04A0"/>
      </w:tblPr>
      <w:tblGrid>
        <w:gridCol w:w="1973"/>
        <w:gridCol w:w="1973"/>
        <w:gridCol w:w="1973"/>
        <w:gridCol w:w="1973"/>
        <w:gridCol w:w="1973"/>
      </w:tblGrid>
      <w:tr>
        <w:tc>
          <w:tcPr>
            <w:tcW w:type="dxa" w:w="4649"/>
            <w:shd w:fill="1F5C99" w:val="clear"/>
          </w:tcPr>
          <w:p>
            <w:r/>
            <w:r>
              <w:rPr>
                <w:rFonts w:ascii="Calibri" w:hAnsi="Calibri" w:eastAsia="Calibri"/>
                <w:b/>
                <w:color w:val="FFFFFF"/>
                <w:sz w:val="18"/>
              </w:rPr>
              <w:t>Poste</w:t>
            </w:r>
          </w:p>
        </w:tc>
        <w:tc>
          <w:tcPr>
            <w:tcW w:type="dxa" w:w="1247"/>
            <w:shd w:fill="1F5C99" w:val="clear"/>
          </w:tcPr>
          <w:p>
            <w:r/>
            <w:r>
              <w:rPr>
                <w:rFonts w:ascii="Calibri" w:hAnsi="Calibri" w:eastAsia="Calibri"/>
                <w:b/>
                <w:color w:val="FFFFFF"/>
                <w:sz w:val="18"/>
              </w:rPr>
              <w:t>Unité</w:t>
            </w:r>
          </w:p>
        </w:tc>
        <w:tc>
          <w:tcPr>
            <w:tcW w:type="dxa" w:w="1247"/>
            <w:shd w:fill="1F5C99" w:val="clear"/>
          </w:tcPr>
          <w:p>
            <w:r/>
            <w:r>
              <w:rPr>
                <w:rFonts w:ascii="Calibri" w:hAnsi="Calibri" w:eastAsia="Calibri"/>
                <w:b/>
                <w:color w:val="FFFFFF"/>
                <w:sz w:val="18"/>
              </w:rPr>
              <w:t>Qté</w:t>
            </w:r>
          </w:p>
        </w:tc>
        <w:tc>
          <w:tcPr>
            <w:tcW w:type="dxa" w:w="1361"/>
            <w:shd w:fill="1F5C99" w:val="clear"/>
          </w:tcPr>
          <w:p>
            <w:r/>
            <w:r>
              <w:rPr>
                <w:rFonts w:ascii="Calibri" w:hAnsi="Calibri" w:eastAsia="Calibri"/>
                <w:b/>
                <w:color w:val="FFFFFF"/>
                <w:sz w:val="18"/>
              </w:rPr>
              <w:t>Prix unitaire HT</w:t>
            </w:r>
          </w:p>
        </w:tc>
        <w:tc>
          <w:tcPr>
            <w:tcW w:type="dxa" w:w="1247"/>
            <w:shd w:fill="1F5C99" w:val="clear"/>
          </w:tcPr>
          <w:p>
            <w:r/>
            <w:r>
              <w:rPr>
                <w:rFonts w:ascii="Calibri" w:hAnsi="Calibri" w:eastAsia="Calibri"/>
                <w:b/>
                <w:color w:val="FFFFFF"/>
                <w:sz w:val="18"/>
              </w:rPr>
              <w:t>Montant HT</w:t>
            </w:r>
          </w:p>
        </w:tc>
      </w:tr>
      <w:tr>
        <w:tc>
          <w:tcPr>
            <w:tcW w:type="dxa" w:w="4649"/>
          </w:tcPr>
          <w:p>
            <w:r/>
            <w:r>
              <w:rPr>
                <w:rFonts w:ascii="Calibri" w:hAnsi="Calibri" w:eastAsia="Calibri"/>
                <w:b w:val="0"/>
                <w:sz w:val="18"/>
              </w:rPr>
              <w:t>Détecteur 5 km, fourni, posé, mis en service</w:t>
            </w:r>
          </w:p>
        </w:tc>
        <w:tc>
          <w:tcPr>
            <w:tcW w:type="dxa" w:w="1247"/>
          </w:tcPr>
          <w:p>
            <w:r/>
            <w:r>
              <w:rPr>
                <w:rFonts w:ascii="Calibri" w:hAnsi="Calibri" w:eastAsia="Calibri"/>
                <w:b w:val="0"/>
                <w:sz w:val="18"/>
              </w:rPr>
              <w:t>u</w:t>
            </w:r>
          </w:p>
        </w:tc>
        <w:tc>
          <w:tcPr>
            <w:tcW w:type="dxa" w:w="1247"/>
          </w:tcPr>
          <w:p>
            <w:r/>
            <w:r>
              <w:rPr>
                <w:rFonts w:ascii="Calibri" w:hAnsi="Calibri" w:eastAsia="Calibri"/>
                <w:b w:val="0"/>
                <w:sz w:val="18"/>
              </w:rPr>
              <w:t>[N]</w:t>
            </w:r>
          </w:p>
        </w:tc>
        <w:tc>
          <w:tcPr>
            <w:tcW w:type="dxa" w:w="1361"/>
          </w:tcPr>
          <w:p>
            <w:r/>
            <w:r>
              <w:rPr>
                <w:rFonts w:ascii="Calibri" w:hAnsi="Calibri" w:eastAsia="Calibri"/>
                <w:b w:val="0"/>
                <w:sz w:val="18"/>
              </w:rPr>
            </w:r>
          </w:p>
        </w:tc>
        <w:tc>
          <w:tcPr>
            <w:tcW w:type="dxa" w:w="1247"/>
          </w:tcPr>
          <w:p>
            <w:r/>
            <w:r>
              <w:rPr>
                <w:rFonts w:ascii="Calibri" w:hAnsi="Calibri" w:eastAsia="Calibri"/>
                <w:b w:val="0"/>
                <w:sz w:val="18"/>
              </w:rPr>
            </w:r>
          </w:p>
        </w:tc>
      </w:tr>
      <w:tr>
        <w:tc>
          <w:tcPr>
            <w:tcW w:type="dxa" w:w="4649"/>
            <w:shd w:fill="F4F7FB" w:val="clear"/>
          </w:tcPr>
          <w:p>
            <w:r/>
            <w:r>
              <w:rPr>
                <w:rFonts w:ascii="Calibri" w:hAnsi="Calibri" w:eastAsia="Calibri"/>
                <w:b w:val="0"/>
                <w:sz w:val="18"/>
              </w:rPr>
              <w:t>Licence et raccordement à l’hyperviseur, par capteur</w:t>
            </w:r>
          </w:p>
        </w:tc>
        <w:tc>
          <w:tcPr>
            <w:tcW w:type="dxa" w:w="1247"/>
            <w:shd w:fill="F4F7FB" w:val="clear"/>
          </w:tcPr>
          <w:p>
            <w:r/>
            <w:r>
              <w:rPr>
                <w:rFonts w:ascii="Calibri" w:hAnsi="Calibri" w:eastAsia="Calibri"/>
                <w:b w:val="0"/>
                <w:sz w:val="18"/>
              </w:rPr>
              <w:t>u</w:t>
            </w:r>
          </w:p>
        </w:tc>
        <w:tc>
          <w:tcPr>
            <w:tcW w:type="dxa" w:w="1247"/>
            <w:shd w:fill="F4F7FB" w:val="clear"/>
          </w:tcPr>
          <w:p>
            <w:r/>
            <w:r>
              <w:rPr>
                <w:rFonts w:ascii="Calibri" w:hAnsi="Calibri" w:eastAsia="Calibri"/>
                <w:b w:val="0"/>
                <w:sz w:val="18"/>
              </w:rPr>
              <w:t>[N]</w:t>
            </w:r>
          </w:p>
        </w:tc>
        <w:tc>
          <w:tcPr>
            <w:tcW w:type="dxa" w:w="1361"/>
            <w:shd w:fill="F4F7FB" w:val="clear"/>
          </w:tcPr>
          <w:p>
            <w:r/>
            <w:r>
              <w:rPr>
                <w:rFonts w:ascii="Calibri" w:hAnsi="Calibri" w:eastAsia="Calibri"/>
                <w:b w:val="0"/>
                <w:sz w:val="18"/>
              </w:rPr>
            </w:r>
          </w:p>
        </w:tc>
        <w:tc>
          <w:tcPr>
            <w:tcW w:type="dxa" w:w="1247"/>
            <w:shd w:fill="F4F7FB" w:val="clear"/>
          </w:tcPr>
          <w:p>
            <w:r/>
            <w:r>
              <w:rPr>
                <w:rFonts w:ascii="Calibri" w:hAnsi="Calibri" w:eastAsia="Calibri"/>
                <w:b w:val="0"/>
                <w:sz w:val="18"/>
              </w:rPr>
            </w:r>
          </w:p>
        </w:tc>
      </w:tr>
      <w:tr>
        <w:tc>
          <w:tcPr>
            <w:tcW w:type="dxa" w:w="4649"/>
          </w:tcPr>
          <w:p>
            <w:r/>
            <w:r>
              <w:rPr>
                <w:rFonts w:ascii="Calibri" w:hAnsi="Calibri" w:eastAsia="Calibri"/>
                <w:b w:val="0"/>
                <w:sz w:val="18"/>
              </w:rPr>
              <w:t>Hyperviseur, déploiement sur site, recette</w:t>
            </w:r>
          </w:p>
        </w:tc>
        <w:tc>
          <w:tcPr>
            <w:tcW w:type="dxa" w:w="1247"/>
          </w:tcPr>
          <w:p>
            <w:r/>
            <w:r>
              <w:rPr>
                <w:rFonts w:ascii="Calibri" w:hAnsi="Calibri" w:eastAsia="Calibri"/>
                <w:b w:val="0"/>
                <w:sz w:val="18"/>
              </w:rPr>
              <w:t>fft</w:t>
            </w:r>
          </w:p>
        </w:tc>
        <w:tc>
          <w:tcPr>
            <w:tcW w:type="dxa" w:w="1247"/>
          </w:tcPr>
          <w:p>
            <w:r/>
            <w:r>
              <w:rPr>
                <w:rFonts w:ascii="Calibri" w:hAnsi="Calibri" w:eastAsia="Calibri"/>
                <w:b w:val="0"/>
                <w:sz w:val="18"/>
              </w:rPr>
              <w:t>1</w:t>
            </w:r>
          </w:p>
        </w:tc>
        <w:tc>
          <w:tcPr>
            <w:tcW w:type="dxa" w:w="1361"/>
          </w:tcPr>
          <w:p>
            <w:r/>
            <w:r>
              <w:rPr>
                <w:rFonts w:ascii="Calibri" w:hAnsi="Calibri" w:eastAsia="Calibri"/>
                <w:b w:val="0"/>
                <w:sz w:val="18"/>
              </w:rPr>
            </w:r>
          </w:p>
        </w:tc>
        <w:tc>
          <w:tcPr>
            <w:tcW w:type="dxa" w:w="1247"/>
          </w:tcPr>
          <w:p>
            <w:r/>
            <w:r>
              <w:rPr>
                <w:rFonts w:ascii="Calibri" w:hAnsi="Calibri" w:eastAsia="Calibri"/>
                <w:b w:val="0"/>
                <w:sz w:val="18"/>
              </w:rPr>
            </w:r>
          </w:p>
        </w:tc>
      </w:tr>
      <w:tr>
        <w:tc>
          <w:tcPr>
            <w:tcW w:type="dxa" w:w="4649"/>
            <w:shd w:fill="F4F7FB" w:val="clear"/>
          </w:tcPr>
          <w:p>
            <w:r/>
            <w:r>
              <w:rPr>
                <w:rFonts w:ascii="Calibri" w:hAnsi="Calibri" w:eastAsia="Calibri"/>
                <w:b w:val="0"/>
                <w:sz w:val="18"/>
              </w:rPr>
              <w:t>Formation exploitants</w:t>
            </w:r>
          </w:p>
        </w:tc>
        <w:tc>
          <w:tcPr>
            <w:tcW w:type="dxa" w:w="1247"/>
            <w:shd w:fill="F4F7FB" w:val="clear"/>
          </w:tcPr>
          <w:p>
            <w:r/>
            <w:r>
              <w:rPr>
                <w:rFonts w:ascii="Calibri" w:hAnsi="Calibri" w:eastAsia="Calibri"/>
                <w:b w:val="0"/>
                <w:sz w:val="18"/>
              </w:rPr>
              <w:t>session</w:t>
            </w:r>
          </w:p>
        </w:tc>
        <w:tc>
          <w:tcPr>
            <w:tcW w:type="dxa" w:w="1247"/>
            <w:shd w:fill="F4F7FB" w:val="clear"/>
          </w:tcPr>
          <w:p>
            <w:r/>
            <w:r>
              <w:rPr>
                <w:rFonts w:ascii="Calibri" w:hAnsi="Calibri" w:eastAsia="Calibri"/>
                <w:b w:val="0"/>
                <w:sz w:val="18"/>
              </w:rPr>
              <w:t>[À COMPLÉTER]</w:t>
            </w:r>
          </w:p>
        </w:tc>
        <w:tc>
          <w:tcPr>
            <w:tcW w:type="dxa" w:w="1361"/>
            <w:shd w:fill="F4F7FB" w:val="clear"/>
          </w:tcPr>
          <w:p>
            <w:r/>
            <w:r>
              <w:rPr>
                <w:rFonts w:ascii="Calibri" w:hAnsi="Calibri" w:eastAsia="Calibri"/>
                <w:b w:val="0"/>
                <w:sz w:val="18"/>
              </w:rPr>
            </w:r>
          </w:p>
        </w:tc>
        <w:tc>
          <w:tcPr>
            <w:tcW w:type="dxa" w:w="1247"/>
            <w:shd w:fill="F4F7FB" w:val="clear"/>
          </w:tcPr>
          <w:p>
            <w:r/>
            <w:r>
              <w:rPr>
                <w:rFonts w:ascii="Calibri" w:hAnsi="Calibri" w:eastAsia="Calibri"/>
                <w:b w:val="0"/>
                <w:sz w:val="18"/>
              </w:rPr>
            </w:r>
          </w:p>
        </w:tc>
      </w:tr>
      <w:tr>
        <w:tc>
          <w:tcPr>
            <w:tcW w:type="dxa" w:w="4649"/>
          </w:tcPr>
          <w:p>
            <w:r/>
            <w:r>
              <w:rPr>
                <w:rFonts w:ascii="Calibri" w:hAnsi="Calibri" w:eastAsia="Calibri"/>
                <w:b w:val="0"/>
                <w:sz w:val="18"/>
              </w:rPr>
              <w:t>Maintenance annuelle, mises à jour incluses</w:t>
            </w:r>
          </w:p>
        </w:tc>
        <w:tc>
          <w:tcPr>
            <w:tcW w:type="dxa" w:w="1247"/>
          </w:tcPr>
          <w:p>
            <w:r/>
            <w:r>
              <w:rPr>
                <w:rFonts w:ascii="Calibri" w:hAnsi="Calibri" w:eastAsia="Calibri"/>
                <w:b w:val="0"/>
                <w:sz w:val="18"/>
              </w:rPr>
              <w:t>an</w:t>
            </w:r>
          </w:p>
        </w:tc>
        <w:tc>
          <w:tcPr>
            <w:tcW w:type="dxa" w:w="1247"/>
          </w:tcPr>
          <w:p>
            <w:r/>
            <w:r>
              <w:rPr>
                <w:rFonts w:ascii="Calibri" w:hAnsi="Calibri" w:eastAsia="Calibri"/>
                <w:b w:val="0"/>
                <w:sz w:val="18"/>
              </w:rPr>
              <w:t>[DURÉE]</w:t>
            </w:r>
          </w:p>
        </w:tc>
        <w:tc>
          <w:tcPr>
            <w:tcW w:type="dxa" w:w="1361"/>
          </w:tcPr>
          <w:p>
            <w:r/>
            <w:r>
              <w:rPr>
                <w:rFonts w:ascii="Calibri" w:hAnsi="Calibri" w:eastAsia="Calibri"/>
                <w:b w:val="0"/>
                <w:sz w:val="18"/>
              </w:rPr>
            </w:r>
          </w:p>
        </w:tc>
        <w:tc>
          <w:tcPr>
            <w:tcW w:type="dxa" w:w="1247"/>
          </w:tcPr>
          <w:p>
            <w:r/>
            <w:r>
              <w:rPr>
                <w:rFonts w:ascii="Calibri" w:hAnsi="Calibri" w:eastAsia="Calibri"/>
                <w:b w:val="0"/>
                <w:sz w:val="18"/>
              </w:rPr>
            </w:r>
          </w:p>
        </w:tc>
      </w:tr>
      <w:tr>
        <w:tc>
          <w:tcPr>
            <w:tcW w:type="dxa" w:w="4649"/>
            <w:shd w:fill="F4F7FB" w:val="clear"/>
          </w:tcPr>
          <w:p>
            <w:r/>
            <w:r>
              <w:rPr>
                <w:rFonts w:ascii="Calibri" w:hAnsi="Calibri" w:eastAsia="Calibri"/>
                <w:b w:val="0"/>
                <w:sz w:val="18"/>
              </w:rPr>
              <w:t>Option portée 15 km, écart par rapport au capteur 5 km</w:t>
            </w:r>
          </w:p>
        </w:tc>
        <w:tc>
          <w:tcPr>
            <w:tcW w:type="dxa" w:w="1247"/>
            <w:shd w:fill="F4F7FB" w:val="clear"/>
          </w:tcPr>
          <w:p>
            <w:r/>
            <w:r>
              <w:rPr>
                <w:rFonts w:ascii="Calibri" w:hAnsi="Calibri" w:eastAsia="Calibri"/>
                <w:b w:val="0"/>
                <w:sz w:val="18"/>
              </w:rPr>
              <w:t>u</w:t>
            </w:r>
          </w:p>
        </w:tc>
        <w:tc>
          <w:tcPr>
            <w:tcW w:type="dxa" w:w="1247"/>
            <w:shd w:fill="F4F7FB" w:val="clear"/>
          </w:tcPr>
          <w:p>
            <w:r/>
            <w:r>
              <w:rPr>
                <w:rFonts w:ascii="Calibri" w:hAnsi="Calibri" w:eastAsia="Calibri"/>
                <w:b w:val="0"/>
                <w:sz w:val="18"/>
              </w:rPr>
              <w:t>[N’]</w:t>
            </w:r>
          </w:p>
        </w:tc>
        <w:tc>
          <w:tcPr>
            <w:tcW w:type="dxa" w:w="1361"/>
            <w:shd w:fill="F4F7FB" w:val="clear"/>
          </w:tcPr>
          <w:p>
            <w:r/>
            <w:r>
              <w:rPr>
                <w:rFonts w:ascii="Calibri" w:hAnsi="Calibri" w:eastAsia="Calibri"/>
                <w:b w:val="0"/>
                <w:sz w:val="18"/>
              </w:rPr>
            </w:r>
          </w:p>
        </w:tc>
        <w:tc>
          <w:tcPr>
            <w:tcW w:type="dxa" w:w="1247"/>
            <w:shd w:fill="F4F7FB" w:val="clear"/>
          </w:tcPr>
          <w:p>
            <w:r/>
            <w:r>
              <w:rPr>
                <w:rFonts w:ascii="Calibri" w:hAnsi="Calibri" w:eastAsia="Calibri"/>
                <w:b w:val="0"/>
                <w:sz w:val="18"/>
              </w:rPr>
            </w:r>
          </w:p>
        </w:tc>
      </w:tr>
      <w:tr>
        <w:tc>
          <w:tcPr>
            <w:tcW w:type="dxa" w:w="4649"/>
          </w:tcPr>
          <w:p>
            <w:r/>
            <w:r>
              <w:rPr>
                <w:rFonts w:ascii="Calibri" w:hAnsi="Calibri" w:eastAsia="Calibri"/>
                <w:b w:val="0"/>
                <w:sz w:val="18"/>
              </w:rPr>
              <w:t>Option PoE</w:t>
            </w:r>
          </w:p>
        </w:tc>
        <w:tc>
          <w:tcPr>
            <w:tcW w:type="dxa" w:w="1247"/>
          </w:tcPr>
          <w:p>
            <w:r/>
            <w:r>
              <w:rPr>
                <w:rFonts w:ascii="Calibri" w:hAnsi="Calibri" w:eastAsia="Calibri"/>
                <w:b w:val="0"/>
                <w:sz w:val="18"/>
              </w:rPr>
              <w:t>u</w:t>
            </w:r>
          </w:p>
        </w:tc>
        <w:tc>
          <w:tcPr>
            <w:tcW w:type="dxa" w:w="1247"/>
          </w:tcPr>
          <w:p>
            <w:r/>
            <w:r>
              <w:rPr>
                <w:rFonts w:ascii="Calibri" w:hAnsi="Calibri" w:eastAsia="Calibri"/>
                <w:b w:val="0"/>
                <w:sz w:val="18"/>
              </w:rPr>
              <w:t>[ ]</w:t>
            </w:r>
          </w:p>
        </w:tc>
        <w:tc>
          <w:tcPr>
            <w:tcW w:type="dxa" w:w="1361"/>
          </w:tcPr>
          <w:p>
            <w:r/>
            <w:r>
              <w:rPr>
                <w:rFonts w:ascii="Calibri" w:hAnsi="Calibri" w:eastAsia="Calibri"/>
                <w:b w:val="0"/>
                <w:sz w:val="18"/>
              </w:rPr>
            </w:r>
          </w:p>
        </w:tc>
        <w:tc>
          <w:tcPr>
            <w:tcW w:type="dxa" w:w="1247"/>
          </w:tcPr>
          <w:p>
            <w:r/>
            <w:r>
              <w:rPr>
                <w:rFonts w:ascii="Calibri" w:hAnsi="Calibri" w:eastAsia="Calibri"/>
                <w:b w:val="0"/>
                <w:sz w:val="18"/>
              </w:rPr>
            </w:r>
          </w:p>
        </w:tc>
      </w:tr>
      <w:tr>
        <w:tc>
          <w:tcPr>
            <w:tcW w:type="dxa" w:w="4649"/>
            <w:shd w:fill="F4F7FB" w:val="clear"/>
          </w:tcPr>
          <w:p>
            <w:r/>
            <w:r>
              <w:rPr>
                <w:rFonts w:ascii="Calibri" w:hAnsi="Calibri" w:eastAsia="Calibri"/>
                <w:b w:val="0"/>
                <w:sz w:val="18"/>
              </w:rPr>
              <w:t>Option antennes déportées</w:t>
            </w:r>
          </w:p>
        </w:tc>
        <w:tc>
          <w:tcPr>
            <w:tcW w:type="dxa" w:w="1247"/>
            <w:shd w:fill="F4F7FB" w:val="clear"/>
          </w:tcPr>
          <w:p>
            <w:r/>
            <w:r>
              <w:rPr>
                <w:rFonts w:ascii="Calibri" w:hAnsi="Calibri" w:eastAsia="Calibri"/>
                <w:b w:val="0"/>
                <w:sz w:val="18"/>
              </w:rPr>
              <w:t>u</w:t>
            </w:r>
          </w:p>
        </w:tc>
        <w:tc>
          <w:tcPr>
            <w:tcW w:type="dxa" w:w="1247"/>
            <w:shd w:fill="F4F7FB" w:val="clear"/>
          </w:tcPr>
          <w:p>
            <w:r/>
            <w:r>
              <w:rPr>
                <w:rFonts w:ascii="Calibri" w:hAnsi="Calibri" w:eastAsia="Calibri"/>
                <w:b w:val="0"/>
                <w:sz w:val="18"/>
              </w:rPr>
              <w:t>[ ]</w:t>
            </w:r>
          </w:p>
        </w:tc>
        <w:tc>
          <w:tcPr>
            <w:tcW w:type="dxa" w:w="1361"/>
            <w:shd w:fill="F4F7FB" w:val="clear"/>
          </w:tcPr>
          <w:p>
            <w:r/>
            <w:r>
              <w:rPr>
                <w:rFonts w:ascii="Calibri" w:hAnsi="Calibri" w:eastAsia="Calibri"/>
                <w:b w:val="0"/>
                <w:sz w:val="18"/>
              </w:rPr>
            </w:r>
          </w:p>
        </w:tc>
        <w:tc>
          <w:tcPr>
            <w:tcW w:type="dxa" w:w="1247"/>
            <w:shd w:fill="F4F7FB" w:val="clear"/>
          </w:tcPr>
          <w:p>
            <w:r/>
            <w:r>
              <w:rPr>
                <w:rFonts w:ascii="Calibri" w:hAnsi="Calibri" w:eastAsia="Calibri"/>
                <w:b w:val="0"/>
                <w:sz w:val="18"/>
              </w:rPr>
            </w:r>
          </w:p>
        </w:tc>
      </w:tr>
      <w:tr>
        <w:tc>
          <w:tcPr>
            <w:tcW w:type="dxa" w:w="4649"/>
          </w:tcPr>
          <w:p>
            <w:r/>
            <w:r>
              <w:rPr>
                <w:rFonts w:ascii="Calibri" w:hAnsi="Calibri" w:eastAsia="Calibri"/>
                <w:b w:val="0"/>
                <w:sz w:val="18"/>
              </w:rPr>
              <w:t>Option anti-leurrage Remote ID</w:t>
            </w:r>
          </w:p>
        </w:tc>
        <w:tc>
          <w:tcPr>
            <w:tcW w:type="dxa" w:w="1247"/>
          </w:tcPr>
          <w:p>
            <w:r/>
            <w:r>
              <w:rPr>
                <w:rFonts w:ascii="Calibri" w:hAnsi="Calibri" w:eastAsia="Calibri"/>
                <w:b w:val="0"/>
                <w:sz w:val="18"/>
              </w:rPr>
              <w:t>u</w:t>
            </w:r>
          </w:p>
        </w:tc>
        <w:tc>
          <w:tcPr>
            <w:tcW w:type="dxa" w:w="1247"/>
          </w:tcPr>
          <w:p>
            <w:r/>
            <w:r>
              <w:rPr>
                <w:rFonts w:ascii="Calibri" w:hAnsi="Calibri" w:eastAsia="Calibri"/>
                <w:b w:val="0"/>
                <w:sz w:val="18"/>
              </w:rPr>
              <w:t>[ ]</w:t>
            </w:r>
          </w:p>
        </w:tc>
        <w:tc>
          <w:tcPr>
            <w:tcW w:type="dxa" w:w="1361"/>
          </w:tcPr>
          <w:p>
            <w:r/>
            <w:r>
              <w:rPr>
                <w:rFonts w:ascii="Calibri" w:hAnsi="Calibri" w:eastAsia="Calibri"/>
                <w:b w:val="0"/>
                <w:sz w:val="18"/>
              </w:rPr>
            </w:r>
          </w:p>
        </w:tc>
        <w:tc>
          <w:tcPr>
            <w:tcW w:type="dxa" w:w="1247"/>
          </w:tcPr>
          <w:p>
            <w:r/>
            <w:r>
              <w:rPr>
                <w:rFonts w:ascii="Calibri" w:hAnsi="Calibri" w:eastAsia="Calibri"/>
                <w:b w:val="0"/>
                <w:sz w:val="18"/>
              </w:rPr>
            </w:r>
          </w:p>
        </w:tc>
      </w:tr>
      <w:tr>
        <w:tc>
          <w:tcPr>
            <w:tcW w:type="dxa" w:w="4649"/>
            <w:shd w:fill="F4F7FB" w:val="clear"/>
          </w:tcPr>
          <w:p>
            <w:r/>
            <w:r>
              <w:rPr>
                <w:rFonts w:ascii="Calibri" w:hAnsi="Calibri" w:eastAsia="Calibri"/>
                <w:b w:val="0"/>
                <w:sz w:val="18"/>
              </w:rPr>
              <w:t>Option récepteur ADS-B passif</w:t>
            </w:r>
          </w:p>
        </w:tc>
        <w:tc>
          <w:tcPr>
            <w:tcW w:type="dxa" w:w="1247"/>
            <w:shd w:fill="F4F7FB" w:val="clear"/>
          </w:tcPr>
          <w:p>
            <w:r/>
            <w:r>
              <w:rPr>
                <w:rFonts w:ascii="Calibri" w:hAnsi="Calibri" w:eastAsia="Calibri"/>
                <w:b w:val="0"/>
                <w:sz w:val="18"/>
              </w:rPr>
              <w:t>u</w:t>
            </w:r>
          </w:p>
        </w:tc>
        <w:tc>
          <w:tcPr>
            <w:tcW w:type="dxa" w:w="1247"/>
            <w:shd w:fill="F4F7FB" w:val="clear"/>
          </w:tcPr>
          <w:p>
            <w:r/>
            <w:r>
              <w:rPr>
                <w:rFonts w:ascii="Calibri" w:hAnsi="Calibri" w:eastAsia="Calibri"/>
                <w:b w:val="0"/>
                <w:sz w:val="18"/>
              </w:rPr>
              <w:t>[ ]</w:t>
            </w:r>
          </w:p>
        </w:tc>
        <w:tc>
          <w:tcPr>
            <w:tcW w:type="dxa" w:w="1361"/>
            <w:shd w:fill="F4F7FB" w:val="clear"/>
          </w:tcPr>
          <w:p>
            <w:r/>
            <w:r>
              <w:rPr>
                <w:rFonts w:ascii="Calibri" w:hAnsi="Calibri" w:eastAsia="Calibri"/>
                <w:b w:val="0"/>
                <w:sz w:val="18"/>
              </w:rPr>
            </w:r>
          </w:p>
        </w:tc>
        <w:tc>
          <w:tcPr>
            <w:tcW w:type="dxa" w:w="1247"/>
            <w:shd w:fill="F4F7FB" w:val="clear"/>
          </w:tcPr>
          <w:p>
            <w:r/>
            <w:r>
              <w:rPr>
                <w:rFonts w:ascii="Calibri" w:hAnsi="Calibri" w:eastAsia="Calibri"/>
                <w:b w:val="0"/>
                <w:sz w:val="18"/>
              </w:rPr>
            </w:r>
          </w:p>
        </w:tc>
      </w:tr>
      <w:tr>
        <w:tc>
          <w:tcPr>
            <w:tcW w:type="dxa" w:w="4649"/>
          </w:tcPr>
          <w:p>
            <w:r/>
            <w:r>
              <w:rPr>
                <w:rFonts w:ascii="Calibri" w:hAnsi="Calibri" w:eastAsia="Calibri"/>
                <w:b w:val="0"/>
                <w:sz w:val="18"/>
              </w:rPr>
              <w:t>Option interface SAPIENT</w:t>
            </w:r>
          </w:p>
        </w:tc>
        <w:tc>
          <w:tcPr>
            <w:tcW w:type="dxa" w:w="1247"/>
          </w:tcPr>
          <w:p>
            <w:r/>
            <w:r>
              <w:rPr>
                <w:rFonts w:ascii="Calibri" w:hAnsi="Calibri" w:eastAsia="Calibri"/>
                <w:b w:val="0"/>
                <w:sz w:val="18"/>
              </w:rPr>
              <w:t>fft</w:t>
            </w:r>
          </w:p>
        </w:tc>
        <w:tc>
          <w:tcPr>
            <w:tcW w:type="dxa" w:w="1247"/>
          </w:tcPr>
          <w:p>
            <w:r/>
            <w:r>
              <w:rPr>
                <w:rFonts w:ascii="Calibri" w:hAnsi="Calibri" w:eastAsia="Calibri"/>
                <w:b w:val="0"/>
                <w:sz w:val="18"/>
              </w:rPr>
              <w:t>[0/1]</w:t>
            </w:r>
          </w:p>
        </w:tc>
        <w:tc>
          <w:tcPr>
            <w:tcW w:type="dxa" w:w="1361"/>
          </w:tcPr>
          <w:p>
            <w:r/>
            <w:r>
              <w:rPr>
                <w:rFonts w:ascii="Calibri" w:hAnsi="Calibri" w:eastAsia="Calibri"/>
                <w:b w:val="0"/>
                <w:sz w:val="18"/>
              </w:rPr>
            </w:r>
          </w:p>
        </w:tc>
        <w:tc>
          <w:tcPr>
            <w:tcW w:type="dxa" w:w="1247"/>
          </w:tcPr>
          <w:p>
            <w:r/>
            <w:r>
              <w:rPr>
                <w:rFonts w:ascii="Calibri" w:hAnsi="Calibri" w:eastAsia="Calibri"/>
                <w:b w:val="0"/>
                <w:sz w:val="18"/>
              </w:rPr>
            </w:r>
          </w:p>
        </w:tc>
      </w:tr>
      <w:tr>
        <w:tc>
          <w:tcPr>
            <w:tcW w:type="dxa" w:w="4649"/>
            <w:shd w:fill="F4F7FB" w:val="clear"/>
          </w:tcPr>
          <w:p>
            <w:r/>
            <w:r>
              <w:rPr>
                <w:rFonts w:ascii="Calibri" w:hAnsi="Calibri" w:eastAsia="Calibri"/>
                <w:b w:val="0"/>
                <w:sz w:val="18"/>
              </w:rPr>
              <w:t>Option affichage DJI O4, par site déjà équipé</w:t>
            </w:r>
          </w:p>
        </w:tc>
        <w:tc>
          <w:tcPr>
            <w:tcW w:type="dxa" w:w="1247"/>
            <w:shd w:fill="F4F7FB" w:val="clear"/>
          </w:tcPr>
          <w:p>
            <w:r/>
            <w:r>
              <w:rPr>
                <w:rFonts w:ascii="Calibri" w:hAnsi="Calibri" w:eastAsia="Calibri"/>
                <w:b w:val="0"/>
                <w:sz w:val="18"/>
              </w:rPr>
              <w:t>site</w:t>
            </w:r>
          </w:p>
        </w:tc>
        <w:tc>
          <w:tcPr>
            <w:tcW w:type="dxa" w:w="1247"/>
            <w:shd w:fill="F4F7FB" w:val="clear"/>
          </w:tcPr>
          <w:p>
            <w:r/>
            <w:r>
              <w:rPr>
                <w:rFonts w:ascii="Calibri" w:hAnsi="Calibri" w:eastAsia="Calibri"/>
                <w:b w:val="0"/>
                <w:sz w:val="18"/>
              </w:rPr>
              <w:t>[ ]</w:t>
            </w:r>
          </w:p>
        </w:tc>
        <w:tc>
          <w:tcPr>
            <w:tcW w:type="dxa" w:w="1361"/>
            <w:shd w:fill="F4F7FB" w:val="clear"/>
          </w:tcPr>
          <w:p>
            <w:r/>
            <w:r>
              <w:rPr>
                <w:rFonts w:ascii="Calibri" w:hAnsi="Calibri" w:eastAsia="Calibri"/>
                <w:b w:val="0"/>
                <w:sz w:val="18"/>
              </w:rPr>
            </w:r>
          </w:p>
        </w:tc>
        <w:tc>
          <w:tcPr>
            <w:tcW w:type="dxa" w:w="1247"/>
            <w:shd w:fill="F4F7FB" w:val="clear"/>
          </w:tcPr>
          <w:p>
            <w:r/>
            <w:r>
              <w:rPr>
                <w:rFonts w:ascii="Calibri" w:hAnsi="Calibri" w:eastAsia="Calibri"/>
                <w:b w:val="0"/>
                <w:sz w:val="18"/>
              </w:rPr>
            </w:r>
          </w:p>
        </w:tc>
      </w:tr>
    </w:tbl>
    <w:p/>
    <w:p>
      <w:pPr>
        <w:pStyle w:val="Heading1"/>
        <w:spacing w:before="320" w:after="120"/>
      </w:pPr>
      <w:r>
        <w:rPr>
          <w:rFonts w:ascii="Calibri" w:hAnsi="Calibri" w:eastAsia="Calibri"/>
          <w:b/>
          <w:color w:val="0B1F33"/>
          <w:sz w:val="32"/>
        </w:rPr>
        <w:t>6. Clauses à reprendre dans le CCAP</w:t>
      </w:r>
    </w:p>
    <w:p>
      <w:pPr>
        <w:pStyle w:val="ListBullet"/>
        <w:spacing w:after="60"/>
      </w:pPr>
      <w:r>
        <w:rPr>
          <w:rFonts w:ascii="Calibri" w:hAnsi="Calibri" w:eastAsia="Calibri"/>
          <w:b w:val="0"/>
          <w:sz w:val="22"/>
        </w:rPr>
        <w:t>Prix fermes ou révisables : [À COMPLÉTER]. Pas d’avance sauf décision de l’acheteur.</w:t>
      </w:r>
    </w:p>
    <w:p>
      <w:pPr>
        <w:pStyle w:val="ListBullet"/>
        <w:spacing w:after="60"/>
      </w:pPr>
      <w:r>
        <w:rPr>
          <w:rFonts w:ascii="Calibri" w:hAnsi="Calibri" w:eastAsia="Calibri"/>
          <w:b w:val="0"/>
          <w:sz w:val="22"/>
        </w:rPr>
        <w:t>Délai global d’exécution de la tranche ferme : [À COMPLÉTER] à compter de l’ordre de service.</w:t>
      </w:r>
    </w:p>
    <w:p>
      <w:pPr>
        <w:pStyle w:val="ListBullet"/>
        <w:spacing w:after="60"/>
      </w:pPr>
      <w:r>
        <w:rPr>
          <w:rFonts w:ascii="Calibri" w:hAnsi="Calibri" w:eastAsia="Calibri"/>
          <w:b w:val="0"/>
          <w:sz w:val="22"/>
        </w:rPr>
        <w:t>Pénalité de retard : [montant ou formule À COMPLÉTER], plafonnée. Ne pas recopier un taux sans l’adapter au préjudice.</w:t>
      </w:r>
    </w:p>
    <w:p>
      <w:pPr>
        <w:pStyle w:val="ListBullet"/>
        <w:spacing w:after="60"/>
      </w:pPr>
      <w:r>
        <w:rPr>
          <w:rFonts w:ascii="Calibri" w:hAnsi="Calibri" w:eastAsia="Calibri"/>
          <w:b w:val="0"/>
          <w:sz w:val="22"/>
        </w:rPr>
        <w:t>Garantie des matériels : [À COMPLÉTER] mois à compter de la réception sans réserve essentielle.</w:t>
      </w:r>
    </w:p>
    <w:p>
      <w:pPr>
        <w:pStyle w:val="ListBullet"/>
        <w:spacing w:after="60"/>
      </w:pPr>
      <w:r>
        <w:rPr>
          <w:rFonts w:ascii="Calibri" w:hAnsi="Calibri" w:eastAsia="Calibri"/>
          <w:b w:val="0"/>
          <w:sz w:val="22"/>
        </w:rPr>
        <w:t>Propriété des données opérationnelles : acheteur. Licence d’utilisation de l’hyperviseur pour la durée du marché et les sites désignés. Pas de revente du logiciel.</w:t>
      </w:r>
    </w:p>
    <w:p>
      <w:pPr>
        <w:pStyle w:val="ListBullet"/>
        <w:spacing w:after="60"/>
      </w:pPr>
      <w:r>
        <w:rPr>
          <w:rFonts w:ascii="Calibri" w:hAnsi="Calibri" w:eastAsia="Calibri"/>
          <w:b w:val="0"/>
          <w:sz w:val="22"/>
        </w:rPr>
        <w:t>Réversibilité en fin de marché ou de défaillance : export des configurations, des historiques et des comptes, accompagnement de [À COMPLÉTER] jours.</w:t>
      </w:r>
    </w:p>
    <w:p>
      <w:pPr>
        <w:pStyle w:val="ListBullet"/>
        <w:spacing w:after="60"/>
      </w:pPr>
      <w:r>
        <w:rPr>
          <w:rFonts w:ascii="Calibri" w:hAnsi="Calibri" w:eastAsia="Calibri"/>
          <w:b w:val="0"/>
          <w:sz w:val="22"/>
        </w:rPr>
        <w:t>Sous-traitance déclarée. Le titulaire reste responsable de l’ensemble.</w:t>
      </w:r>
    </w:p>
    <w:p>
      <w:pPr>
        <w:pStyle w:val="ListBullet"/>
        <w:spacing w:after="60"/>
      </w:pPr>
      <w:r>
        <w:rPr>
          <w:rFonts w:ascii="Calibri" w:hAnsi="Calibri" w:eastAsia="Calibri"/>
          <w:b w:val="0"/>
          <w:sz w:val="22"/>
        </w:rPr>
        <w:t>Assurance responsabilité civile professionnelle couvrant les prestations sur site.</w:t>
      </w:r>
    </w:p>
    <w:p>
      <w:pPr>
        <w:pStyle w:val="ListBullet"/>
        <w:spacing w:after="60"/>
      </w:pPr>
      <w:r>
        <w:rPr>
          <w:rFonts w:ascii="Calibri" w:hAnsi="Calibri" w:eastAsia="Calibri"/>
          <w:b w:val="0"/>
          <w:sz w:val="22"/>
        </w:rPr>
        <w:t>Interdiction, pour le titulaire comme pour l’acheteur, d’utiliser le système pour brouiller ou neutraliser un drone.</w:t>
      </w:r>
    </w:p>
    <w:p>
      <w:pPr>
        <w:pStyle w:val="ListBullet"/>
        <w:spacing w:after="60"/>
      </w:pPr>
      <w:r>
        <w:rPr>
          <w:rFonts w:ascii="Calibri" w:hAnsi="Calibri" w:eastAsia="Calibri"/>
          <w:b w:val="0"/>
          <w:sz w:val="22"/>
        </w:rPr>
        <w:t>Résiliation : cas du CCAG fournitures courantes et services ou du CCAG choisi par l’acheteur [référence À COMPLÉTER].</w:t>
      </w:r>
    </w:p>
    <w:p>
      <w:pPr>
        <w:pStyle w:val="Heading1"/>
        <w:spacing w:before="320" w:after="120"/>
      </w:pPr>
      <w:r>
        <w:rPr>
          <w:rFonts w:ascii="Calibri" w:hAnsi="Calibri" w:eastAsia="Calibri"/>
          <w:b/>
          <w:color w:val="0B1F33"/>
          <w:sz w:val="32"/>
        </w:rPr>
        <w:t>7. Annexe A — Sites</w:t>
      </w:r>
    </w:p>
    <w:tbl>
      <w:tblPr>
        <w:tblStyle w:val="TableGrid"/>
        <w:tblW w:type="auto" w:w="0"/>
        <w:tblLayout w:type="autofit"/>
        <w:tblLook w:firstColumn="1" w:firstRow="1" w:lastColumn="0" w:lastRow="0" w:noHBand="0" w:noVBand="1" w:val="04A0"/>
      </w:tblPr>
      <w:tblGrid>
        <w:gridCol w:w="1644"/>
        <w:gridCol w:w="1644"/>
        <w:gridCol w:w="1644"/>
        <w:gridCol w:w="1644"/>
        <w:gridCol w:w="1644"/>
        <w:gridCol w:w="1644"/>
      </w:tblGrid>
      <w:tr>
        <w:tc>
          <w:tcPr>
            <w:tcW w:type="dxa" w:w="1417"/>
            <w:shd w:fill="1F5C99" w:val="clear"/>
          </w:tcPr>
          <w:p>
            <w:r/>
            <w:r>
              <w:rPr>
                <w:rFonts w:ascii="Calibri" w:hAnsi="Calibri" w:eastAsia="Calibri"/>
                <w:b/>
                <w:color w:val="FFFFFF"/>
                <w:sz w:val="18"/>
              </w:rPr>
              <w:t>Site</w:t>
            </w:r>
          </w:p>
        </w:tc>
        <w:tc>
          <w:tcPr>
            <w:tcW w:type="dxa" w:w="1984"/>
            <w:shd w:fill="1F5C99" w:val="clear"/>
          </w:tcPr>
          <w:p>
            <w:r/>
            <w:r>
              <w:rPr>
                <w:rFonts w:ascii="Calibri" w:hAnsi="Calibri" w:eastAsia="Calibri"/>
                <w:b/>
                <w:color w:val="FFFFFF"/>
                <w:sz w:val="18"/>
              </w:rPr>
              <w:t>Adresse</w:t>
            </w:r>
          </w:p>
        </w:tc>
        <w:tc>
          <w:tcPr>
            <w:tcW w:type="dxa" w:w="1701"/>
            <w:shd w:fill="1F5C99" w:val="clear"/>
          </w:tcPr>
          <w:p>
            <w:r/>
            <w:r>
              <w:rPr>
                <w:rFonts w:ascii="Calibri" w:hAnsi="Calibri" w:eastAsia="Calibri"/>
                <w:b/>
                <w:color w:val="FFFFFF"/>
                <w:sz w:val="18"/>
              </w:rPr>
              <w:t>Capteurs prévus</w:t>
            </w:r>
          </w:p>
        </w:tc>
        <w:tc>
          <w:tcPr>
            <w:tcW w:type="dxa" w:w="1814"/>
            <w:shd w:fill="1F5C99" w:val="clear"/>
          </w:tcPr>
          <w:p>
            <w:r/>
            <w:r>
              <w:rPr>
                <w:rFonts w:ascii="Calibri" w:hAnsi="Calibri" w:eastAsia="Calibri"/>
                <w:b/>
                <w:color w:val="FFFFFF"/>
                <w:sz w:val="18"/>
              </w:rPr>
              <w:t>Réseau existant</w:t>
            </w:r>
          </w:p>
        </w:tc>
        <w:tc>
          <w:tcPr>
            <w:tcW w:type="dxa" w:w="1247"/>
            <w:shd w:fill="1F5C99" w:val="clear"/>
          </w:tcPr>
          <w:p>
            <w:r/>
            <w:r>
              <w:rPr>
                <w:rFonts w:ascii="Calibri" w:hAnsi="Calibri" w:eastAsia="Calibri"/>
                <w:b/>
                <w:color w:val="FFFFFF"/>
                <w:sz w:val="18"/>
              </w:rPr>
              <w:t>VMS</w:t>
            </w:r>
          </w:p>
        </w:tc>
        <w:tc>
          <w:tcPr>
            <w:tcW w:type="dxa" w:w="1587"/>
            <w:shd w:fill="1F5C99" w:val="clear"/>
          </w:tcPr>
          <w:p>
            <w:r/>
            <w:r>
              <w:rPr>
                <w:rFonts w:ascii="Calibri" w:hAnsi="Calibri" w:eastAsia="Calibri"/>
                <w:b/>
                <w:color w:val="FFFFFF"/>
                <w:sz w:val="18"/>
              </w:rPr>
              <w:t>Contrainte</w:t>
            </w:r>
          </w:p>
        </w:tc>
      </w:tr>
      <w:tr>
        <w:tc>
          <w:tcPr>
            <w:tcW w:type="dxa" w:w="1417"/>
          </w:tcPr>
          <w:p>
            <w:r/>
            <w:r>
              <w:rPr>
                <w:rFonts w:ascii="Calibri" w:hAnsi="Calibri" w:eastAsia="Calibri"/>
                <w:b w:val="0"/>
                <w:sz w:val="18"/>
              </w:rPr>
              <w:t>[Site 1]</w:t>
            </w:r>
          </w:p>
        </w:tc>
        <w:tc>
          <w:tcPr>
            <w:tcW w:type="dxa" w:w="1984"/>
          </w:tcPr>
          <w:p>
            <w:r/>
            <w:r>
              <w:rPr>
                <w:rFonts w:ascii="Calibri" w:hAnsi="Calibri" w:eastAsia="Calibri"/>
                <w:b w:val="0"/>
                <w:sz w:val="18"/>
              </w:rPr>
              <w:t>[ ]</w:t>
            </w:r>
          </w:p>
        </w:tc>
        <w:tc>
          <w:tcPr>
            <w:tcW w:type="dxa" w:w="1701"/>
          </w:tcPr>
          <w:p>
            <w:r/>
            <w:r>
              <w:rPr>
                <w:rFonts w:ascii="Calibri" w:hAnsi="Calibri" w:eastAsia="Calibri"/>
                <w:b w:val="0"/>
                <w:sz w:val="18"/>
              </w:rPr>
              <w:t>[ ]</w:t>
            </w:r>
          </w:p>
        </w:tc>
        <w:tc>
          <w:tcPr>
            <w:tcW w:type="dxa" w:w="1814"/>
          </w:tcPr>
          <w:p>
            <w:r/>
            <w:r>
              <w:rPr>
                <w:rFonts w:ascii="Calibri" w:hAnsi="Calibri" w:eastAsia="Calibri"/>
                <w:b w:val="0"/>
                <w:sz w:val="18"/>
              </w:rPr>
              <w:t>[Ethernet / 4G]</w:t>
            </w:r>
          </w:p>
        </w:tc>
        <w:tc>
          <w:tcPr>
            <w:tcW w:type="dxa" w:w="1247"/>
          </w:tcPr>
          <w:p>
            <w:r/>
            <w:r>
              <w:rPr>
                <w:rFonts w:ascii="Calibri" w:hAnsi="Calibri" w:eastAsia="Calibri"/>
                <w:b w:val="0"/>
                <w:sz w:val="18"/>
              </w:rPr>
              <w:t>[oui / non]</w:t>
            </w:r>
          </w:p>
        </w:tc>
        <w:tc>
          <w:tcPr>
            <w:tcW w:type="dxa" w:w="1587"/>
          </w:tcPr>
          <w:p>
            <w:r/>
            <w:r>
              <w:rPr>
                <w:rFonts w:ascii="Calibri" w:hAnsi="Calibri" w:eastAsia="Calibri"/>
                <w:b w:val="0"/>
                <w:sz w:val="18"/>
              </w:rPr>
              <w:t>[mât, hauteur, alimentation]</w:t>
            </w:r>
          </w:p>
        </w:tc>
      </w:tr>
      <w:tr>
        <w:tc>
          <w:tcPr>
            <w:tcW w:type="dxa" w:w="1417"/>
            <w:shd w:fill="F4F7FB" w:val="clear"/>
          </w:tcPr>
          <w:p>
            <w:r/>
            <w:r>
              <w:rPr>
                <w:rFonts w:ascii="Calibri" w:hAnsi="Calibri" w:eastAsia="Calibri"/>
                <w:b w:val="0"/>
                <w:sz w:val="18"/>
              </w:rPr>
              <w:t>[Site 2]</w:t>
            </w:r>
          </w:p>
        </w:tc>
        <w:tc>
          <w:tcPr>
            <w:tcW w:type="dxa" w:w="1984"/>
            <w:shd w:fill="F4F7FB" w:val="clear"/>
          </w:tcPr>
          <w:p>
            <w:r/>
            <w:r>
              <w:rPr>
                <w:rFonts w:ascii="Calibri" w:hAnsi="Calibri" w:eastAsia="Calibri"/>
                <w:b w:val="0"/>
                <w:sz w:val="18"/>
              </w:rPr>
              <w:t>[ ]</w:t>
            </w:r>
          </w:p>
        </w:tc>
        <w:tc>
          <w:tcPr>
            <w:tcW w:type="dxa" w:w="1701"/>
            <w:shd w:fill="F4F7FB" w:val="clear"/>
          </w:tcPr>
          <w:p>
            <w:r/>
            <w:r>
              <w:rPr>
                <w:rFonts w:ascii="Calibri" w:hAnsi="Calibri" w:eastAsia="Calibri"/>
                <w:b w:val="0"/>
                <w:sz w:val="18"/>
              </w:rPr>
              <w:t>[ ]</w:t>
            </w:r>
          </w:p>
        </w:tc>
        <w:tc>
          <w:tcPr>
            <w:tcW w:type="dxa" w:w="1814"/>
            <w:shd w:fill="F4F7FB" w:val="clear"/>
          </w:tcPr>
          <w:p>
            <w:r/>
            <w:r>
              <w:rPr>
                <w:rFonts w:ascii="Calibri" w:hAnsi="Calibri" w:eastAsia="Calibri"/>
                <w:b w:val="0"/>
                <w:sz w:val="18"/>
              </w:rPr>
              <w:t>[ ]</w:t>
            </w:r>
          </w:p>
        </w:tc>
        <w:tc>
          <w:tcPr>
            <w:tcW w:type="dxa" w:w="1247"/>
            <w:shd w:fill="F4F7FB" w:val="clear"/>
          </w:tcPr>
          <w:p>
            <w:r/>
            <w:r>
              <w:rPr>
                <w:rFonts w:ascii="Calibri" w:hAnsi="Calibri" w:eastAsia="Calibri"/>
                <w:b w:val="0"/>
                <w:sz w:val="18"/>
              </w:rPr>
              <w:t>[ ]</w:t>
            </w:r>
          </w:p>
        </w:tc>
        <w:tc>
          <w:tcPr>
            <w:tcW w:type="dxa" w:w="1587"/>
            <w:shd w:fill="F4F7FB" w:val="clear"/>
          </w:tcPr>
          <w:p>
            <w:r/>
            <w:r>
              <w:rPr>
                <w:rFonts w:ascii="Calibri" w:hAnsi="Calibri" w:eastAsia="Calibri"/>
                <w:b w:val="0"/>
                <w:sz w:val="18"/>
              </w:rPr>
              <w:t>[ ]</w:t>
            </w:r>
          </w:p>
        </w:tc>
      </w:tr>
    </w:tbl>
    <w:p/>
    <w:p>
      <w:pPr>
        <w:pStyle w:val="Heading1"/>
        <w:spacing w:before="320" w:after="120"/>
      </w:pPr>
      <w:r>
        <w:rPr>
          <w:rFonts w:ascii="Calibri" w:hAnsi="Calibri" w:eastAsia="Calibri"/>
          <w:b/>
          <w:color w:val="0B1F33"/>
          <w:sz w:val="32"/>
        </w:rPr>
        <w:t>8. Annexe B — Ce que le marché ne garantit pas</w:t>
      </w:r>
    </w:p>
    <w:p>
      <w:pPr>
        <w:pStyle w:val="ListBullet"/>
        <w:spacing w:after="60"/>
      </w:pPr>
      <w:r>
        <w:rPr>
          <w:rFonts w:ascii="Calibri" w:hAnsi="Calibri" w:eastAsia="Calibri"/>
          <w:b w:val="0"/>
          <w:sz w:val="22"/>
        </w:rPr>
        <w:t>La détection d’un drone artisanal silencieux en radio, sans Remote ID et sans liaison exploitable.</w:t>
      </w:r>
    </w:p>
    <w:p>
      <w:pPr>
        <w:pStyle w:val="ListBullet"/>
        <w:spacing w:after="60"/>
      </w:pPr>
      <w:r>
        <w:rPr>
          <w:rFonts w:ascii="Calibri" w:hAnsi="Calibri" w:eastAsia="Calibri"/>
          <w:b w:val="0"/>
          <w:sz w:val="22"/>
        </w:rPr>
        <w:t>L’identité civile du télépilote : la trame donne un identifiant d’exploitant, pas un nom. Le rapprochement avec le registre relève de l’autorité compétente.</w:t>
      </w:r>
    </w:p>
    <w:p>
      <w:pPr>
        <w:pStyle w:val="ListBullet"/>
        <w:spacing w:after="60"/>
      </w:pPr>
      <w:r>
        <w:rPr>
          <w:rFonts w:ascii="Calibri" w:hAnsi="Calibri" w:eastAsia="Calibri"/>
          <w:b w:val="0"/>
          <w:sz w:val="22"/>
        </w:rPr>
        <w:t>Une portée de 5 km ou de 15 km dans un environnement masqué.</w:t>
      </w:r>
    </w:p>
    <w:p>
      <w:pPr>
        <w:pStyle w:val="ListBullet"/>
        <w:spacing w:after="60"/>
      </w:pPr>
      <w:r>
        <w:rPr>
          <w:rFonts w:ascii="Calibri" w:hAnsi="Calibri" w:eastAsia="Calibri"/>
          <w:b w:val="0"/>
          <w:sz w:val="22"/>
        </w:rPr>
        <w:t>La conformité future au seuil de 100 g tant que le règlement modificatif n’est pas en vigueur. Le titulaire décrit la trajectoire de mise à jour, il ne peut pas la dater à la place du législateur.</w:t>
      </w:r>
    </w:p>
    <w:p>
      <w:pPr>
        <w:pStyle w:val="ListBullet"/>
        <w:spacing w:after="60"/>
      </w:pPr>
      <w:r>
        <w:rPr>
          <w:rFonts w:ascii="Calibri" w:hAnsi="Calibri" w:eastAsia="Calibri"/>
          <w:b w:val="0"/>
          <w:sz w:val="22"/>
        </w:rPr>
        <w:t>Une capacité d’interdiction. Elle est hors objet et, pour un acheteur privé ou la plupart des acheteurs publics, hors droit.</w:t>
      </w:r>
    </w:p>
    <w:p>
      <w:pPr>
        <w:pStyle w:val="Heading1"/>
        <w:spacing w:before="320" w:after="120"/>
      </w:pPr>
      <w:r>
        <w:rPr>
          <w:rFonts w:ascii="Calibri" w:hAnsi="Calibri" w:eastAsia="Calibri"/>
          <w:b/>
          <w:color w:val="0B1F33"/>
          <w:sz w:val="32"/>
        </w:rPr>
        <w:t>9. Sources utilisées pour le niveau d’exigence</w:t>
      </w:r>
    </w:p>
    <w:p>
      <w:pPr>
        <w:pStyle w:val="ListBullet"/>
        <w:spacing w:after="60"/>
      </w:pPr>
      <w:r>
        <w:rPr>
          <w:rFonts w:ascii="Calibri" w:hAnsi="Calibri" w:eastAsia="Calibri"/>
          <w:b w:val="0"/>
          <w:sz w:val="22"/>
        </w:rPr>
        <w:t>Fiche technique publique DECTYR RX-5 : protocoles, portées 5 km et 15 km, EN 4709-002, ASTM F3411-22a, signalement français, JANS 0401, B-RID, IP67, −20 °C à +50 °C, 3 kg, alimentation, batterie 5 h, Ethernet et 4G, ONVIF, rapports PDF.</w:t>
      </w:r>
    </w:p>
    <w:p>
      <w:pPr>
        <w:pStyle w:val="ListBullet"/>
        <w:spacing w:after="60"/>
      </w:pPr>
      <w:r>
        <w:rPr>
          <w:rFonts w:ascii="Calibri" w:hAnsi="Calibri" w:eastAsia="Calibri"/>
          <w:b w:val="0"/>
          <w:sz w:val="22"/>
        </w:rPr>
        <w:t>Description publique DECTYR Hub : carte, parc, alertes, droits, audit, déploiement sur site, cartes hors ligne, rapports signés.</w:t>
      </w:r>
    </w:p>
    <w:p>
      <w:pPr>
        <w:pStyle w:val="ListBullet"/>
        <w:spacing w:after="60"/>
      </w:pPr>
      <w:r>
        <w:rPr>
          <w:rFonts w:ascii="Calibri" w:hAnsi="Calibri" w:eastAsia="Calibri"/>
          <w:b w:val="0"/>
          <w:sz w:val="22"/>
        </w:rPr>
        <w:t>Code de la commande publique, notamment les articles L.2113-10, R.2111-7, R.2122-8, R.2123-1 et R.2124-2, avis de seuils NOR ECOM2600976V (Journal officiel du 13 janvier 2026) et décret n° 2025-1386 du 29 décembre 2025.</w:t>
      </w:r>
    </w:p>
    <w:p>
      <w:pPr>
        <w:pStyle w:val="ListBullet"/>
        <w:spacing w:after="60"/>
      </w:pPr>
      <w:r>
        <w:rPr>
          <w:rFonts w:ascii="Calibri" w:hAnsi="Calibri" w:eastAsia="Calibri"/>
          <w:b w:val="0"/>
          <w:sz w:val="22"/>
        </w:rPr>
        <w:t>Avis EASA n° 06/2026 du 18 septembre 2026 : le seuil de 100 g ou plus n’est pas encore le droit applicable.</w:t>
      </w:r>
    </w:p>
    <w:p>
      <w:pPr>
        <w:spacing w:after="160" w:before="0" w:line="259" w:lineRule="auto"/>
      </w:pPr>
      <w:r>
        <w:rPr>
          <w:rFonts w:ascii="Calibri" w:hAnsi="Calibri" w:eastAsia="Calibri"/>
          <w:b w:val="0"/>
          <w:sz w:val="20"/>
        </w:rPr>
        <w:t>Fin du modèle. L’acheteur supprime cette page de sources avant publication s’il ne souhaite pas l’annexer au dossier de consultation.</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color w:val="1F5C99"/>
        <w:sz w:val="16"/>
      </w:rPr>
      <w:t xml:space="preserve">Modèle DECTYR — octobre 2026 — à adapter par l’acheteur — document non contractuel — aucun prix n’est indiqué  ·  page </w:t>
    </w:r>
    <w:r>
      <w:rPr>
        <w:rFonts w:ascii="Calibri" w:hAnsi="Calibri" w:eastAsia="Calibri"/>
        <w:b w:val="0"/>
        <w:color w:val="1F5C99"/>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CCTP type — flotte de détection de drones DECTYR RX-5 et hyperviseur DECTYR Hub</dc:title>
  <dc:subject>Modèle de cahier des charges technique, Code de la commande publique et achat privé</dc:subject>
  <dc:creator>DECTYR SAS</dc:creator>
  <cp:keywords/>
  <dc:description>Modèle à adapter. Aucun prix. Mention « ou équivalent » obligatoire en marché public (article R.2111-7 du code de la commande publique).</dc:description>
  <cp:lastModifiedBy/>
  <cp:revision>1</cp:revision>
  <dcterms:created xsi:type="dcterms:W3CDTF">2013-12-23T23:15:00Z</dcterms:created>
  <dcterms:modified xsi:type="dcterms:W3CDTF">2013-12-23T23:15:00Z</dcterms:modified>
  <cp:category>Cahier des charges</cp:category>
  <dc:language>fr-FR</dc:language>
</cp:coreProperties>
</file>